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4F2AD" w14:textId="1A813A74" w:rsidR="00B67B20" w:rsidRPr="009257C1" w:rsidRDefault="00D42FC2" w:rsidP="009257C1">
      <w:pPr>
        <w:bidi/>
        <w:spacing w:before="100" w:beforeAutospacing="1" w:after="0" w:line="240" w:lineRule="auto"/>
        <w:ind w:left="284"/>
        <w:jc w:val="both"/>
        <w:rPr>
          <w:rFonts w:ascii="Arial" w:hAnsi="Arial" w:cs="Arial"/>
          <w:b/>
          <w:bCs/>
          <w:sz w:val="24"/>
          <w:szCs w:val="24"/>
          <w:rtl/>
        </w:rPr>
      </w:pPr>
      <w:bookmarkStart w:id="0" w:name="_GoBack"/>
      <w:r w:rsidRPr="009257C1">
        <w:rPr>
          <w:rFonts w:ascii="Arial" w:hAnsi="Arial" w:cs="Arial"/>
          <w:b/>
          <w:bCs/>
          <w:sz w:val="24"/>
          <w:szCs w:val="24"/>
          <w:rtl/>
          <w:lang w:bidi="ar-TN"/>
        </w:rPr>
        <w:t xml:space="preserve">مشروع </w:t>
      </w:r>
      <w:r w:rsidRPr="009257C1">
        <w:rPr>
          <w:rFonts w:ascii="Arial" w:hAnsi="Arial" w:cs="Arial"/>
          <w:b/>
          <w:bCs/>
          <w:sz w:val="24"/>
          <w:szCs w:val="24"/>
          <w:rtl/>
        </w:rPr>
        <w:t>أمر حكومي يتعلق بتنظيم عملية نشر تقارير الرقابة العامة وتقارير المتابعة</w:t>
      </w:r>
    </w:p>
    <w:bookmarkEnd w:id="0"/>
    <w:p w14:paraId="276AA949" w14:textId="7CC21080" w:rsidR="00D42FC2" w:rsidRPr="009257C1" w:rsidRDefault="00D42FC2" w:rsidP="009257C1">
      <w:pPr>
        <w:bidi/>
        <w:spacing w:before="100" w:beforeAutospacing="1" w:after="0" w:line="240" w:lineRule="auto"/>
        <w:ind w:left="284"/>
        <w:jc w:val="both"/>
        <w:rPr>
          <w:rFonts w:ascii="Arial" w:hAnsi="Arial" w:cs="Arial"/>
          <w:rtl/>
        </w:rPr>
      </w:pPr>
      <w:r w:rsidRPr="009257C1">
        <w:rPr>
          <w:rFonts w:ascii="Arial" w:hAnsi="Arial" w:cs="Arial"/>
          <w:rtl/>
        </w:rPr>
        <w:t xml:space="preserve">إن رئيس الحكومة، </w:t>
      </w:r>
    </w:p>
    <w:p w14:paraId="271FFE36" w14:textId="2986EB69" w:rsidR="00D42FC2" w:rsidRPr="009257C1" w:rsidRDefault="00D42FC2" w:rsidP="00D42FC2">
      <w:pPr>
        <w:bidi/>
        <w:spacing w:before="100" w:beforeAutospacing="1" w:after="0" w:line="240" w:lineRule="auto"/>
        <w:ind w:left="284"/>
        <w:jc w:val="both"/>
        <w:rPr>
          <w:rFonts w:ascii="Arial" w:hAnsi="Arial" w:cs="Arial"/>
          <w:rtl/>
        </w:rPr>
      </w:pPr>
      <w:r w:rsidRPr="009257C1">
        <w:rPr>
          <w:rFonts w:ascii="Arial" w:hAnsi="Arial" w:cs="Arial"/>
          <w:rtl/>
        </w:rPr>
        <w:t>وبعد الاطلاع على الدستور، وخاصة الفصلين 15 و</w:t>
      </w:r>
      <w:r w:rsidR="009257C1" w:rsidRPr="009257C1">
        <w:rPr>
          <w:rFonts w:ascii="Arial" w:hAnsi="Arial" w:cs="Arial" w:hint="cs"/>
          <w:rtl/>
        </w:rPr>
        <w:t>32 منه</w:t>
      </w:r>
      <w:r w:rsidRPr="009257C1">
        <w:rPr>
          <w:rFonts w:ascii="Arial" w:hAnsi="Arial" w:cs="Arial"/>
          <w:rtl/>
        </w:rPr>
        <w:t>،</w:t>
      </w:r>
    </w:p>
    <w:p w14:paraId="2E4A8AF8" w14:textId="33888B93" w:rsidR="00D42FC2" w:rsidRPr="009257C1" w:rsidRDefault="00D42FC2" w:rsidP="00D42FC2">
      <w:pPr>
        <w:bidi/>
        <w:spacing w:before="100" w:beforeAutospacing="1" w:after="0" w:line="240" w:lineRule="auto"/>
        <w:ind w:left="284"/>
        <w:jc w:val="both"/>
        <w:rPr>
          <w:rFonts w:ascii="Arial" w:hAnsi="Arial" w:cs="Arial"/>
          <w:rtl/>
        </w:rPr>
      </w:pPr>
      <w:r w:rsidRPr="009257C1">
        <w:rPr>
          <w:rFonts w:ascii="Arial" w:hAnsi="Arial" w:cs="Arial"/>
          <w:rtl/>
        </w:rPr>
        <w:t xml:space="preserve">وعلى </w:t>
      </w:r>
      <w:r w:rsidR="009257C1" w:rsidRPr="009257C1">
        <w:rPr>
          <w:rFonts w:ascii="Arial" w:hAnsi="Arial" w:cs="Arial" w:hint="cs"/>
          <w:rtl/>
        </w:rPr>
        <w:t>القانون الأساسي</w:t>
      </w:r>
      <w:r w:rsidRPr="009257C1">
        <w:rPr>
          <w:rFonts w:ascii="Arial" w:hAnsi="Arial" w:cs="Arial"/>
          <w:rtl/>
        </w:rPr>
        <w:t xml:space="preserve"> عدد 63 لسنة 2004 المؤرخ في 27 </w:t>
      </w:r>
      <w:proofErr w:type="spellStart"/>
      <w:r w:rsidRPr="009257C1">
        <w:rPr>
          <w:rFonts w:ascii="Arial" w:hAnsi="Arial" w:cs="Arial"/>
          <w:rtl/>
        </w:rPr>
        <w:t>جويلية</w:t>
      </w:r>
      <w:proofErr w:type="spellEnd"/>
      <w:r w:rsidRPr="009257C1">
        <w:rPr>
          <w:rFonts w:ascii="Arial" w:hAnsi="Arial" w:cs="Arial"/>
          <w:rtl/>
        </w:rPr>
        <w:t xml:space="preserve"> 2004</w:t>
      </w:r>
      <w:r w:rsidR="009257C1">
        <w:rPr>
          <w:rFonts w:ascii="Arial" w:hAnsi="Arial" w:cs="Arial" w:hint="cs"/>
          <w:rtl/>
        </w:rPr>
        <w:t>،</w:t>
      </w:r>
      <w:r w:rsidRPr="009257C1">
        <w:rPr>
          <w:rFonts w:ascii="Arial" w:hAnsi="Arial" w:cs="Arial"/>
          <w:rtl/>
        </w:rPr>
        <w:t xml:space="preserve"> المتعلق بحماية المعطيات الشخصية، </w:t>
      </w:r>
    </w:p>
    <w:p w14:paraId="28A1C328" w14:textId="2B988053" w:rsidR="00D42FC2" w:rsidRPr="009257C1" w:rsidRDefault="00D42FC2" w:rsidP="00D42FC2">
      <w:pPr>
        <w:bidi/>
        <w:spacing w:before="100" w:beforeAutospacing="1" w:after="0" w:line="240" w:lineRule="auto"/>
        <w:ind w:left="284"/>
        <w:jc w:val="both"/>
        <w:rPr>
          <w:rFonts w:ascii="Arial" w:hAnsi="Arial" w:cs="Arial"/>
          <w:rtl/>
        </w:rPr>
      </w:pPr>
      <w:r w:rsidRPr="009257C1">
        <w:rPr>
          <w:rFonts w:ascii="Arial" w:hAnsi="Arial" w:cs="Arial"/>
          <w:rtl/>
        </w:rPr>
        <w:t xml:space="preserve">وعلى القانون الأساسي عدد 22 لسنة 2016 المؤرخ في 24 مارس 2016 المتعلق بالحق في النفاذ إلى المعلومة وخاصة الفصل 6 منه، </w:t>
      </w:r>
    </w:p>
    <w:p w14:paraId="147FB4DD" w14:textId="46DFE28F" w:rsidR="00D42FC2" w:rsidRPr="009257C1" w:rsidRDefault="00D42FC2" w:rsidP="00D42FC2">
      <w:pPr>
        <w:bidi/>
        <w:spacing w:before="100" w:beforeAutospacing="1" w:after="0" w:line="240" w:lineRule="auto"/>
        <w:ind w:left="284"/>
        <w:jc w:val="both"/>
        <w:rPr>
          <w:rFonts w:ascii="Arial" w:hAnsi="Arial" w:cs="Arial"/>
          <w:rtl/>
        </w:rPr>
      </w:pPr>
      <w:r w:rsidRPr="009257C1">
        <w:rPr>
          <w:rFonts w:ascii="Arial" w:hAnsi="Arial" w:cs="Arial"/>
          <w:rtl/>
        </w:rPr>
        <w:t xml:space="preserve">وعلى القانون عدد 50 لسنة 1993 المؤرخ في 3 ماي 1993 </w:t>
      </w:r>
      <w:r w:rsidR="009257C1" w:rsidRPr="009257C1">
        <w:rPr>
          <w:rFonts w:ascii="Arial" w:hAnsi="Arial" w:cs="Arial" w:hint="cs"/>
          <w:rtl/>
        </w:rPr>
        <w:t>والمتعلق</w:t>
      </w:r>
      <w:r w:rsidRPr="009257C1">
        <w:rPr>
          <w:rFonts w:ascii="Arial" w:hAnsi="Arial" w:cs="Arial"/>
          <w:rtl/>
        </w:rPr>
        <w:t xml:space="preserve"> بالهيئة العليا للرقابة الإدارية والمالية،</w:t>
      </w:r>
    </w:p>
    <w:p w14:paraId="0438E0B7" w14:textId="53FE98BC" w:rsidR="00D42FC2" w:rsidRPr="009257C1" w:rsidRDefault="00D42FC2" w:rsidP="00D42FC2">
      <w:pPr>
        <w:bidi/>
        <w:spacing w:before="100" w:beforeAutospacing="1" w:after="0" w:line="240" w:lineRule="auto"/>
        <w:ind w:left="284"/>
        <w:jc w:val="both"/>
        <w:rPr>
          <w:rFonts w:ascii="Arial" w:hAnsi="Arial" w:cs="Arial"/>
          <w:rtl/>
        </w:rPr>
      </w:pPr>
      <w:r w:rsidRPr="009257C1">
        <w:rPr>
          <w:rFonts w:ascii="Arial" w:hAnsi="Arial" w:cs="Arial"/>
          <w:rtl/>
        </w:rPr>
        <w:t xml:space="preserve">وعلى المرسوم </w:t>
      </w:r>
      <w:proofErr w:type="spellStart"/>
      <w:r w:rsidRPr="009257C1">
        <w:rPr>
          <w:rFonts w:ascii="Arial" w:hAnsi="Arial" w:cs="Arial"/>
          <w:rtl/>
        </w:rPr>
        <w:t>الإطاري</w:t>
      </w:r>
      <w:proofErr w:type="spellEnd"/>
      <w:r w:rsidRPr="009257C1">
        <w:rPr>
          <w:rFonts w:ascii="Arial" w:hAnsi="Arial" w:cs="Arial"/>
          <w:rtl/>
        </w:rPr>
        <w:t xml:space="preserve"> عدد 120 لسنة 2011 المؤرخ في 14 نوفمبر 2011 والمتعلق بمكافحة الفساد،</w:t>
      </w:r>
    </w:p>
    <w:p w14:paraId="2E5C9D85" w14:textId="6D90EBA4" w:rsidR="001F0163" w:rsidRPr="009257C1" w:rsidRDefault="00D42FC2" w:rsidP="001F0163">
      <w:pPr>
        <w:bidi/>
        <w:spacing w:before="100" w:beforeAutospacing="1" w:after="0" w:line="240" w:lineRule="auto"/>
        <w:ind w:left="284"/>
        <w:jc w:val="both"/>
        <w:rPr>
          <w:rFonts w:ascii="Arial" w:hAnsi="Arial" w:cs="Arial"/>
          <w:rtl/>
        </w:rPr>
      </w:pPr>
      <w:r w:rsidRPr="009257C1">
        <w:rPr>
          <w:rFonts w:ascii="Arial" w:hAnsi="Arial" w:cs="Arial"/>
          <w:rtl/>
        </w:rPr>
        <w:t xml:space="preserve">وعلى الأمر </w:t>
      </w:r>
      <w:r w:rsidR="009257C1" w:rsidRPr="009257C1">
        <w:rPr>
          <w:rFonts w:ascii="Arial" w:hAnsi="Arial" w:cs="Arial" w:hint="cs"/>
          <w:rtl/>
        </w:rPr>
        <w:t>عدد 316</w:t>
      </w:r>
      <w:r w:rsidR="001F0163" w:rsidRPr="009257C1">
        <w:rPr>
          <w:rFonts w:ascii="Arial" w:hAnsi="Arial" w:cs="Arial"/>
          <w:rtl/>
        </w:rPr>
        <w:t xml:space="preserve"> لسنة 1975 المؤرخ في 30 ماي 1975 المتعلق بضبط مشمولات وزارة المالية، </w:t>
      </w:r>
    </w:p>
    <w:p w14:paraId="693637B1" w14:textId="4C2C1942" w:rsidR="00D42FC2" w:rsidRPr="009257C1" w:rsidRDefault="001F0163" w:rsidP="001F0163">
      <w:pPr>
        <w:bidi/>
        <w:spacing w:before="100" w:beforeAutospacing="1" w:after="0" w:line="240" w:lineRule="auto"/>
        <w:ind w:left="284"/>
        <w:jc w:val="both"/>
        <w:rPr>
          <w:rFonts w:ascii="Arial" w:hAnsi="Arial" w:cs="Arial"/>
          <w:rtl/>
        </w:rPr>
      </w:pPr>
      <w:r w:rsidRPr="009257C1">
        <w:rPr>
          <w:rFonts w:ascii="Arial" w:hAnsi="Arial" w:cs="Arial"/>
          <w:rtl/>
        </w:rPr>
        <w:t xml:space="preserve">وعلى الأمر عدد 7 لسنة 1982 المؤرخ في 5 </w:t>
      </w:r>
      <w:proofErr w:type="spellStart"/>
      <w:r w:rsidRPr="009257C1">
        <w:rPr>
          <w:rFonts w:ascii="Arial" w:hAnsi="Arial" w:cs="Arial"/>
          <w:rtl/>
        </w:rPr>
        <w:t>جانفي</w:t>
      </w:r>
      <w:proofErr w:type="spellEnd"/>
      <w:r w:rsidRPr="009257C1">
        <w:rPr>
          <w:rFonts w:ascii="Arial" w:hAnsi="Arial" w:cs="Arial"/>
          <w:rtl/>
        </w:rPr>
        <w:t xml:space="preserve"> 1982 والمتعلق بالنظام الأساسي الخاص بأعضاء الرقابة لعامة للمالية وعلى جميع النصوص التي نقحته أو تممته وخاصة الأمر عدد 520 لسنة 2000 المؤرخ في 29 فيفري 2000.</w:t>
      </w:r>
    </w:p>
    <w:p w14:paraId="52D1E8D8" w14:textId="5F7A29AF" w:rsidR="001F0163" w:rsidRPr="009257C1" w:rsidRDefault="001F0163" w:rsidP="00D15555">
      <w:pPr>
        <w:bidi/>
        <w:spacing w:before="100" w:beforeAutospacing="1" w:after="0" w:line="240" w:lineRule="auto"/>
        <w:ind w:left="284"/>
        <w:jc w:val="both"/>
        <w:rPr>
          <w:rFonts w:ascii="Arial" w:hAnsi="Arial" w:cs="Arial"/>
          <w:rtl/>
        </w:rPr>
      </w:pPr>
      <w:r w:rsidRPr="009257C1">
        <w:rPr>
          <w:rFonts w:ascii="Arial" w:hAnsi="Arial" w:cs="Arial"/>
          <w:rtl/>
        </w:rPr>
        <w:t xml:space="preserve">وعلى الأمر </w:t>
      </w:r>
      <w:r w:rsidR="009257C1" w:rsidRPr="009257C1">
        <w:rPr>
          <w:rFonts w:ascii="Arial" w:hAnsi="Arial" w:cs="Arial" w:hint="cs"/>
          <w:rtl/>
        </w:rPr>
        <w:t>عدد 999</w:t>
      </w:r>
      <w:r w:rsidRPr="009257C1">
        <w:rPr>
          <w:rFonts w:ascii="Arial" w:hAnsi="Arial" w:cs="Arial"/>
          <w:rtl/>
        </w:rPr>
        <w:t xml:space="preserve"> لسنة 1990 المؤرخ في 11 جوان 1990 والمتعلق بضبط مشمولات وزارة أملاك الدولة، </w:t>
      </w:r>
    </w:p>
    <w:p w14:paraId="329F0E4E" w14:textId="4E5F608C" w:rsidR="00892073" w:rsidRPr="009257C1" w:rsidRDefault="00892073" w:rsidP="00892073">
      <w:pPr>
        <w:bidi/>
        <w:spacing w:before="100" w:beforeAutospacing="1" w:after="0" w:line="240" w:lineRule="auto"/>
        <w:ind w:left="284"/>
        <w:jc w:val="both"/>
        <w:rPr>
          <w:rFonts w:ascii="Arial" w:hAnsi="Arial" w:cs="Arial"/>
          <w:rtl/>
        </w:rPr>
      </w:pPr>
      <w:r w:rsidRPr="009257C1">
        <w:rPr>
          <w:rFonts w:ascii="Arial" w:hAnsi="Arial" w:cs="Arial"/>
          <w:rtl/>
        </w:rPr>
        <w:t xml:space="preserve">وعلى الأمر عدد 842 لسنة 1991 المؤرخ في 31 ماي 1991 المتعلق بضبط النظام الأساسي الخاص بأعضاء هيئة الرقابة العامة لأملاك الدولة والشؤون العقارية، وعلى جميع النصوص التي نقحته أو تممته وخاصة </w:t>
      </w:r>
      <w:r w:rsidR="009257C1" w:rsidRPr="009257C1">
        <w:rPr>
          <w:rFonts w:ascii="Arial" w:hAnsi="Arial" w:cs="Arial" w:hint="cs"/>
          <w:rtl/>
        </w:rPr>
        <w:t>الأمر</w:t>
      </w:r>
      <w:r w:rsidRPr="009257C1">
        <w:rPr>
          <w:rFonts w:ascii="Arial" w:hAnsi="Arial" w:cs="Arial"/>
          <w:rtl/>
        </w:rPr>
        <w:t xml:space="preserve"> عدد 710 لسنة 2000 </w:t>
      </w:r>
      <w:r w:rsidR="009257C1" w:rsidRPr="009257C1">
        <w:rPr>
          <w:rFonts w:ascii="Arial" w:hAnsi="Arial" w:cs="Arial" w:hint="cs"/>
          <w:rtl/>
        </w:rPr>
        <w:t>المؤر</w:t>
      </w:r>
      <w:r w:rsidR="009257C1" w:rsidRPr="009257C1">
        <w:rPr>
          <w:rFonts w:ascii="Arial" w:hAnsi="Arial" w:cs="Arial"/>
          <w:rtl/>
        </w:rPr>
        <w:t>خ</w:t>
      </w:r>
      <w:r w:rsidRPr="009257C1">
        <w:rPr>
          <w:rFonts w:ascii="Arial" w:hAnsi="Arial" w:cs="Arial"/>
          <w:rtl/>
        </w:rPr>
        <w:t xml:space="preserve"> في 5 </w:t>
      </w:r>
      <w:proofErr w:type="spellStart"/>
      <w:r w:rsidRPr="009257C1">
        <w:rPr>
          <w:rFonts w:ascii="Arial" w:hAnsi="Arial" w:cs="Arial"/>
          <w:rtl/>
        </w:rPr>
        <w:t>أفريل</w:t>
      </w:r>
      <w:proofErr w:type="spellEnd"/>
      <w:r w:rsidRPr="009257C1">
        <w:rPr>
          <w:rFonts w:ascii="Arial" w:hAnsi="Arial" w:cs="Arial"/>
          <w:rtl/>
        </w:rPr>
        <w:t xml:space="preserve"> 2000، </w:t>
      </w:r>
    </w:p>
    <w:p w14:paraId="5A9BA779" w14:textId="5B253D12" w:rsidR="00892073" w:rsidRPr="009257C1" w:rsidRDefault="00892073" w:rsidP="00892073">
      <w:pPr>
        <w:bidi/>
        <w:spacing w:before="100" w:beforeAutospacing="1" w:after="0" w:line="240" w:lineRule="auto"/>
        <w:ind w:left="284"/>
        <w:jc w:val="both"/>
        <w:rPr>
          <w:rFonts w:ascii="Arial" w:hAnsi="Arial" w:cs="Arial"/>
          <w:rtl/>
        </w:rPr>
      </w:pPr>
      <w:r w:rsidRPr="009257C1">
        <w:rPr>
          <w:rFonts w:ascii="Arial" w:hAnsi="Arial" w:cs="Arial"/>
          <w:rtl/>
        </w:rPr>
        <w:t xml:space="preserve">وعلى الأمر عدد 906 لسنة 1993 المؤرخ في 19 </w:t>
      </w:r>
      <w:proofErr w:type="spellStart"/>
      <w:r w:rsidRPr="009257C1">
        <w:rPr>
          <w:rFonts w:ascii="Arial" w:hAnsi="Arial" w:cs="Arial"/>
          <w:rtl/>
        </w:rPr>
        <w:t>أفريل</w:t>
      </w:r>
      <w:proofErr w:type="spellEnd"/>
      <w:r w:rsidRPr="009257C1">
        <w:rPr>
          <w:rFonts w:ascii="Arial" w:hAnsi="Arial" w:cs="Arial"/>
          <w:rtl/>
        </w:rPr>
        <w:t xml:space="preserve"> 1993 المتعلق بالهيئة العليا للرقابة الإدارية والمالية، </w:t>
      </w:r>
    </w:p>
    <w:p w14:paraId="53180283" w14:textId="26367153" w:rsidR="00892073" w:rsidRPr="009257C1" w:rsidRDefault="00892073" w:rsidP="00892073">
      <w:pPr>
        <w:bidi/>
        <w:spacing w:before="100" w:beforeAutospacing="1" w:after="0" w:line="240" w:lineRule="auto"/>
        <w:ind w:left="284"/>
        <w:jc w:val="both"/>
        <w:rPr>
          <w:rFonts w:ascii="Arial" w:hAnsi="Arial" w:cs="Arial"/>
          <w:rtl/>
        </w:rPr>
      </w:pPr>
      <w:r w:rsidRPr="009257C1">
        <w:rPr>
          <w:rFonts w:ascii="Arial" w:hAnsi="Arial" w:cs="Arial"/>
          <w:rtl/>
        </w:rPr>
        <w:t xml:space="preserve">وعلى الامر عدد 1683 لسنة 2012 المؤرخ في 22 أوت 2012 المتعلق بضبط النظام الأساسي الخاص بأعوان سلك مراقبة المصاريف العمومية برئاسة الحكومة وعلى جميع النصوص التي نقحته أو تممته، </w:t>
      </w:r>
    </w:p>
    <w:p w14:paraId="7223E8D3" w14:textId="0FA8FD52" w:rsidR="00181A85" w:rsidRPr="009257C1" w:rsidRDefault="00892073" w:rsidP="00181A85">
      <w:pPr>
        <w:bidi/>
        <w:spacing w:before="100" w:beforeAutospacing="1" w:after="0" w:line="240" w:lineRule="auto"/>
        <w:ind w:left="284"/>
        <w:jc w:val="both"/>
        <w:rPr>
          <w:rFonts w:ascii="Arial" w:hAnsi="Arial" w:cs="Arial"/>
          <w:rtl/>
        </w:rPr>
      </w:pPr>
      <w:r w:rsidRPr="009257C1">
        <w:rPr>
          <w:rFonts w:ascii="Arial" w:hAnsi="Arial" w:cs="Arial"/>
          <w:rtl/>
        </w:rPr>
        <w:t>وعلى الأمر عدد 5096 لسنة 2013</w:t>
      </w:r>
      <w:r w:rsidR="00181A85" w:rsidRPr="009257C1">
        <w:rPr>
          <w:rFonts w:ascii="Arial" w:hAnsi="Arial" w:cs="Arial"/>
          <w:rtl/>
        </w:rPr>
        <w:t xml:space="preserve">المؤرخ في 22 نوفمبر </w:t>
      </w:r>
      <w:r w:rsidRPr="009257C1">
        <w:rPr>
          <w:rFonts w:ascii="Arial" w:hAnsi="Arial" w:cs="Arial"/>
          <w:rtl/>
        </w:rPr>
        <w:t xml:space="preserve">2013 </w:t>
      </w:r>
      <w:r w:rsidR="00181A85" w:rsidRPr="009257C1">
        <w:rPr>
          <w:rFonts w:ascii="Arial" w:hAnsi="Arial" w:cs="Arial"/>
          <w:rtl/>
        </w:rPr>
        <w:t xml:space="preserve">يتعلق بإحداث الهيئة العليا للطلب العمومي وبضبط النظام الأساسي الخاص بأعوان سلك مراقبي ومراجعة الطلب العمومي </w:t>
      </w:r>
      <w:r w:rsidR="009257C1" w:rsidRPr="009257C1">
        <w:rPr>
          <w:rFonts w:ascii="Arial" w:hAnsi="Arial" w:cs="Arial" w:hint="cs"/>
          <w:rtl/>
        </w:rPr>
        <w:t>برئاسة</w:t>
      </w:r>
      <w:r w:rsidR="00181A85" w:rsidRPr="009257C1">
        <w:rPr>
          <w:rFonts w:ascii="Arial" w:hAnsi="Arial" w:cs="Arial"/>
          <w:rtl/>
        </w:rPr>
        <w:t xml:space="preserve"> الحكومة، </w:t>
      </w:r>
    </w:p>
    <w:p w14:paraId="548E8013" w14:textId="4102B290" w:rsidR="00181A85" w:rsidRPr="009257C1" w:rsidRDefault="00181A85" w:rsidP="00181A85">
      <w:pPr>
        <w:bidi/>
        <w:spacing w:before="100" w:beforeAutospacing="1" w:after="0" w:line="240" w:lineRule="auto"/>
        <w:ind w:left="284"/>
        <w:jc w:val="both"/>
        <w:rPr>
          <w:rFonts w:ascii="Arial" w:hAnsi="Arial" w:cs="Arial"/>
          <w:rtl/>
        </w:rPr>
      </w:pPr>
      <w:r w:rsidRPr="009257C1">
        <w:rPr>
          <w:rFonts w:ascii="Arial" w:hAnsi="Arial" w:cs="Arial"/>
          <w:rtl/>
        </w:rPr>
        <w:t xml:space="preserve">وعلى </w:t>
      </w:r>
      <w:r w:rsidR="009257C1" w:rsidRPr="009257C1">
        <w:rPr>
          <w:rFonts w:ascii="Arial" w:hAnsi="Arial" w:cs="Arial" w:hint="cs"/>
          <w:rtl/>
        </w:rPr>
        <w:t>الأمر عدد</w:t>
      </w:r>
      <w:r w:rsidRPr="009257C1">
        <w:rPr>
          <w:rFonts w:ascii="Arial" w:hAnsi="Arial" w:cs="Arial"/>
          <w:rtl/>
        </w:rPr>
        <w:t xml:space="preserve"> 3232 لسنة 2013 المؤرخ في 12 أوت 2013 المتعلق بتنظيم ومشمولات هيئة الرقابة العامة للمصالح العمومية وبضبط النظام الأساسي الخاص بأعضائها وعلى جميع النصوص التي نقحته أو تممته، </w:t>
      </w:r>
    </w:p>
    <w:p w14:paraId="70E1BF84" w14:textId="104BF949" w:rsidR="00892073" w:rsidRPr="009257C1" w:rsidRDefault="00181A85" w:rsidP="00181A85">
      <w:pPr>
        <w:bidi/>
        <w:spacing w:before="100" w:beforeAutospacing="1" w:after="0" w:line="240" w:lineRule="auto"/>
        <w:ind w:left="284"/>
        <w:jc w:val="both"/>
        <w:rPr>
          <w:rFonts w:ascii="Arial" w:hAnsi="Arial" w:cs="Arial"/>
          <w:rtl/>
        </w:rPr>
      </w:pPr>
      <w:r w:rsidRPr="009257C1">
        <w:rPr>
          <w:rFonts w:ascii="Arial" w:hAnsi="Arial" w:cs="Arial"/>
          <w:rtl/>
        </w:rPr>
        <w:t xml:space="preserve">وعلى الأمر </w:t>
      </w:r>
      <w:r w:rsidR="009257C1" w:rsidRPr="009257C1">
        <w:rPr>
          <w:rFonts w:ascii="Arial" w:hAnsi="Arial" w:cs="Arial" w:hint="cs"/>
          <w:rtl/>
        </w:rPr>
        <w:t>عدد 5093</w:t>
      </w:r>
      <w:r w:rsidRPr="009257C1">
        <w:rPr>
          <w:rFonts w:ascii="Arial" w:hAnsi="Arial" w:cs="Arial"/>
          <w:rtl/>
        </w:rPr>
        <w:t xml:space="preserve"> لسنة 2013 المؤرخ 22 نوفمبر 2013 المتعلق بهيئة مراقبي الدولة برئاسة الحكومة وبضبط النظام الأساسي الخاص بأعضائها كما تم تنقيحه بالأمر الحكومي عدد 1225 لسنة 2016 المؤرخ في 27 أكتوبر 2016، </w:t>
      </w:r>
    </w:p>
    <w:p w14:paraId="5D606BBC" w14:textId="17133956" w:rsidR="00181A85" w:rsidRPr="009257C1" w:rsidRDefault="00181A85" w:rsidP="00181A85">
      <w:pPr>
        <w:bidi/>
        <w:spacing w:before="100" w:beforeAutospacing="1" w:after="0" w:line="240" w:lineRule="auto"/>
        <w:ind w:left="284"/>
        <w:jc w:val="both"/>
        <w:rPr>
          <w:rFonts w:ascii="Arial" w:hAnsi="Arial" w:cs="Arial"/>
          <w:rtl/>
        </w:rPr>
      </w:pPr>
      <w:r w:rsidRPr="009257C1">
        <w:rPr>
          <w:rFonts w:ascii="Arial" w:hAnsi="Arial" w:cs="Arial"/>
          <w:rtl/>
        </w:rPr>
        <w:t xml:space="preserve">وعلى الامر الرئاسي عدد 16 لسنة 2020 المؤرخ في 27 </w:t>
      </w:r>
      <w:r w:rsidR="009257C1" w:rsidRPr="009257C1">
        <w:rPr>
          <w:rFonts w:ascii="Arial" w:hAnsi="Arial" w:cs="Arial" w:hint="cs"/>
          <w:rtl/>
        </w:rPr>
        <w:t>فيفري والمتعلق</w:t>
      </w:r>
      <w:r w:rsidRPr="009257C1">
        <w:rPr>
          <w:rFonts w:ascii="Arial" w:hAnsi="Arial" w:cs="Arial"/>
          <w:rtl/>
        </w:rPr>
        <w:t xml:space="preserve"> 2020 والمتعلق بتسمية رئيس الحكومة وأعضاءها، </w:t>
      </w:r>
    </w:p>
    <w:p w14:paraId="58433B34" w14:textId="14CA197A" w:rsidR="00181A85" w:rsidRPr="009257C1" w:rsidRDefault="00181A85" w:rsidP="00181A85">
      <w:pPr>
        <w:bidi/>
        <w:spacing w:before="100" w:beforeAutospacing="1" w:after="0" w:line="240" w:lineRule="auto"/>
        <w:ind w:left="284"/>
        <w:jc w:val="both"/>
        <w:rPr>
          <w:rFonts w:ascii="Arial" w:hAnsi="Arial" w:cs="Arial"/>
          <w:rtl/>
        </w:rPr>
      </w:pPr>
      <w:r w:rsidRPr="009257C1">
        <w:rPr>
          <w:rFonts w:ascii="Arial" w:hAnsi="Arial" w:cs="Arial"/>
          <w:rtl/>
        </w:rPr>
        <w:t xml:space="preserve">وعلى </w:t>
      </w:r>
      <w:r w:rsidR="009257C1" w:rsidRPr="009257C1">
        <w:rPr>
          <w:rFonts w:ascii="Arial" w:hAnsi="Arial" w:cs="Arial" w:hint="cs"/>
          <w:rtl/>
        </w:rPr>
        <w:t>الأمر الحكومي</w:t>
      </w:r>
      <w:r w:rsidRPr="009257C1">
        <w:rPr>
          <w:rFonts w:ascii="Arial" w:hAnsi="Arial" w:cs="Arial"/>
          <w:rtl/>
        </w:rPr>
        <w:t xml:space="preserve"> عدد 167 لسنة 2020 المؤرخ في 28 </w:t>
      </w:r>
      <w:proofErr w:type="spellStart"/>
      <w:r w:rsidRPr="009257C1">
        <w:rPr>
          <w:rFonts w:ascii="Arial" w:hAnsi="Arial" w:cs="Arial"/>
          <w:rtl/>
        </w:rPr>
        <w:t>أفريل</w:t>
      </w:r>
      <w:proofErr w:type="spellEnd"/>
      <w:r w:rsidRPr="009257C1">
        <w:rPr>
          <w:rFonts w:ascii="Arial" w:hAnsi="Arial" w:cs="Arial"/>
          <w:rtl/>
        </w:rPr>
        <w:t xml:space="preserve"> 2020 المتعلق بضبط مشمولات وزير الدولة لدى رئيس الحكومة المكلف بالوظيفة العمومية </w:t>
      </w:r>
      <w:proofErr w:type="spellStart"/>
      <w:r w:rsidRPr="009257C1">
        <w:rPr>
          <w:rFonts w:ascii="Arial" w:hAnsi="Arial" w:cs="Arial"/>
          <w:rtl/>
        </w:rPr>
        <w:t>والحوكمة</w:t>
      </w:r>
      <w:proofErr w:type="spellEnd"/>
      <w:r w:rsidRPr="009257C1">
        <w:rPr>
          <w:rFonts w:ascii="Arial" w:hAnsi="Arial" w:cs="Arial"/>
          <w:rtl/>
        </w:rPr>
        <w:t xml:space="preserve"> ومكافحة الفساد والهياكل والمؤسسة الراجعة إليه بالنظر وبتفويض بعض صلاحيات رئيس الحكومة له، </w:t>
      </w:r>
    </w:p>
    <w:p w14:paraId="7FEEE282" w14:textId="38D75923" w:rsidR="00181A85" w:rsidRPr="009257C1" w:rsidRDefault="00181A85" w:rsidP="00181A85">
      <w:pPr>
        <w:bidi/>
        <w:spacing w:before="100" w:beforeAutospacing="1" w:after="0" w:line="240" w:lineRule="auto"/>
        <w:ind w:left="284"/>
        <w:jc w:val="both"/>
        <w:rPr>
          <w:rFonts w:ascii="Arial" w:hAnsi="Arial" w:cs="Arial"/>
          <w:rtl/>
        </w:rPr>
      </w:pPr>
      <w:r w:rsidRPr="009257C1">
        <w:rPr>
          <w:rFonts w:ascii="Arial" w:hAnsi="Arial" w:cs="Arial"/>
          <w:rtl/>
        </w:rPr>
        <w:t>وعلى رأي المحكمة الإدارية،</w:t>
      </w:r>
    </w:p>
    <w:p w14:paraId="3CF6921A" w14:textId="390F090B" w:rsidR="00181A85" w:rsidRPr="009257C1" w:rsidRDefault="00181A85" w:rsidP="009257C1">
      <w:pPr>
        <w:bidi/>
        <w:spacing w:before="100" w:beforeAutospacing="1" w:after="0" w:line="240" w:lineRule="auto"/>
        <w:ind w:left="284"/>
        <w:jc w:val="both"/>
        <w:rPr>
          <w:rFonts w:ascii="Arial" w:hAnsi="Arial" w:cs="Arial" w:hint="cs"/>
          <w:rtl/>
        </w:rPr>
      </w:pPr>
      <w:r w:rsidRPr="009257C1">
        <w:rPr>
          <w:rFonts w:ascii="Arial" w:hAnsi="Arial" w:cs="Arial"/>
          <w:rtl/>
        </w:rPr>
        <w:t xml:space="preserve">يصدر الأمر الحكومي الآتي </w:t>
      </w:r>
      <w:r w:rsidR="009257C1">
        <w:rPr>
          <w:rFonts w:ascii="Arial" w:hAnsi="Arial" w:cs="Arial"/>
          <w:rtl/>
        </w:rPr>
        <w:t>نصه:</w:t>
      </w:r>
    </w:p>
    <w:p w14:paraId="336419BC" w14:textId="408544AF" w:rsidR="00181A85" w:rsidRPr="009257C1" w:rsidRDefault="00181A85" w:rsidP="00181A85">
      <w:pPr>
        <w:bidi/>
        <w:spacing w:before="100" w:beforeAutospacing="1" w:after="0" w:line="240" w:lineRule="auto"/>
        <w:ind w:left="284"/>
        <w:jc w:val="both"/>
        <w:rPr>
          <w:rFonts w:ascii="Arial" w:hAnsi="Arial" w:cs="Arial"/>
          <w:rtl/>
        </w:rPr>
      </w:pPr>
      <w:r w:rsidRPr="009257C1">
        <w:rPr>
          <w:rFonts w:ascii="Arial" w:hAnsi="Arial" w:cs="Arial"/>
          <w:b/>
          <w:bCs/>
          <w:rtl/>
        </w:rPr>
        <w:t>الفصل الأول –</w:t>
      </w:r>
      <w:r w:rsidRPr="009257C1">
        <w:rPr>
          <w:rFonts w:ascii="Arial" w:hAnsi="Arial" w:cs="Arial"/>
          <w:rtl/>
        </w:rPr>
        <w:t xml:space="preserve"> يندرج هذا الأمر في إطار تعزيز مبادئ </w:t>
      </w:r>
      <w:proofErr w:type="spellStart"/>
      <w:r w:rsidRPr="009257C1">
        <w:rPr>
          <w:rFonts w:ascii="Arial" w:hAnsi="Arial" w:cs="Arial"/>
          <w:rtl/>
        </w:rPr>
        <w:t>الحوكمة</w:t>
      </w:r>
      <w:proofErr w:type="spellEnd"/>
      <w:r w:rsidRPr="009257C1">
        <w:rPr>
          <w:rFonts w:ascii="Arial" w:hAnsi="Arial" w:cs="Arial"/>
          <w:rtl/>
        </w:rPr>
        <w:t xml:space="preserve"> والشفافية والمساءلة في التصرّف في الأموال العمومية وإدارة الشأن العامّ، ويهدف إلى تنظيم نشر التقارير التأليفية السنوية للرقابة والتقييم التي تعدّها كل من هيئة الرقابة العامة للمصالح العمومية وهيئة الرقابة </w:t>
      </w:r>
      <w:r w:rsidRPr="009257C1">
        <w:rPr>
          <w:rFonts w:ascii="Arial" w:hAnsi="Arial" w:cs="Arial"/>
          <w:rtl/>
        </w:rPr>
        <w:lastRenderedPageBreak/>
        <w:t>العامة للمالية وهيئة الرقابة العامة لأملاك الدولة والشؤون العقارية و الهيئة العامة لمراقبة المصاريف العموميّة و هيئة مراقبي الدولة والهيئة العليا للطلب العمومي وكذلك التقارير التأليفية السنوية للمتابعة التي تعدّها الهيئة العليا للرقابة الإدارية والمالية.</w:t>
      </w:r>
    </w:p>
    <w:p w14:paraId="7CAC55A1" w14:textId="14252019" w:rsidR="000B7947" w:rsidRPr="009257C1" w:rsidRDefault="000B7947" w:rsidP="000B7947">
      <w:pPr>
        <w:bidi/>
        <w:spacing w:before="100" w:beforeAutospacing="1" w:after="0" w:line="240" w:lineRule="auto"/>
        <w:ind w:left="284"/>
        <w:jc w:val="both"/>
        <w:rPr>
          <w:rFonts w:ascii="Arial" w:hAnsi="Arial" w:cs="Arial"/>
          <w:rtl/>
        </w:rPr>
      </w:pPr>
      <w:r w:rsidRPr="009257C1">
        <w:rPr>
          <w:rFonts w:ascii="Arial" w:hAnsi="Arial" w:cs="Arial"/>
          <w:b/>
          <w:bCs/>
          <w:rtl/>
        </w:rPr>
        <w:t>الفصل 2 –</w:t>
      </w:r>
      <w:r w:rsidRPr="009257C1">
        <w:rPr>
          <w:rFonts w:ascii="Arial" w:hAnsi="Arial" w:cs="Arial"/>
          <w:rtl/>
        </w:rPr>
        <w:t xml:space="preserve"> تتولى هيئات الرقابة نشر تقاريرها الرقابية ضمن تقارير </w:t>
      </w:r>
      <w:r w:rsidR="009257C1" w:rsidRPr="009257C1">
        <w:rPr>
          <w:rFonts w:ascii="Arial" w:hAnsi="Arial" w:cs="Arial" w:hint="cs"/>
          <w:rtl/>
        </w:rPr>
        <w:t>تأليفية</w:t>
      </w:r>
      <w:r w:rsidRPr="009257C1">
        <w:rPr>
          <w:rFonts w:ascii="Arial" w:hAnsi="Arial" w:cs="Arial"/>
          <w:rtl/>
        </w:rPr>
        <w:t xml:space="preserve"> سنوية يتم إعدادها وفقا للمعايير الدولية المعمول بها في مجال </w:t>
      </w:r>
      <w:r w:rsidR="009257C1">
        <w:rPr>
          <w:rFonts w:ascii="Arial" w:hAnsi="Arial" w:cs="Arial"/>
          <w:rtl/>
        </w:rPr>
        <w:t>الرقابة</w:t>
      </w:r>
      <w:r w:rsidRPr="009257C1">
        <w:rPr>
          <w:rFonts w:ascii="Arial" w:hAnsi="Arial" w:cs="Arial"/>
          <w:rtl/>
        </w:rPr>
        <w:t xml:space="preserve"> وذلك في أجل أقصاه الثلاثية الثالثة من السنة المولية للسنة التي شملها التقرير. وتنشر هذه التقارير على المواقع الالكترونية الرسمية للوزارات التي ترجع لها الهيئات المذكورة بالنظر.</w:t>
      </w:r>
    </w:p>
    <w:p w14:paraId="73EC2392" w14:textId="64E7B752" w:rsidR="000B7947" w:rsidRPr="009257C1" w:rsidRDefault="000B7947" w:rsidP="000B7947">
      <w:pPr>
        <w:bidi/>
        <w:spacing w:before="100" w:beforeAutospacing="1" w:after="0" w:line="240" w:lineRule="auto"/>
        <w:ind w:left="284"/>
        <w:jc w:val="both"/>
        <w:rPr>
          <w:rFonts w:ascii="Arial" w:hAnsi="Arial" w:cs="Arial"/>
          <w:rtl/>
        </w:rPr>
      </w:pPr>
      <w:r w:rsidRPr="009257C1">
        <w:rPr>
          <w:rFonts w:ascii="Arial" w:hAnsi="Arial" w:cs="Arial"/>
          <w:rtl/>
        </w:rPr>
        <w:t>كما يمكن لهذه الهيئات نشر تقارير خصوصية عند الاقتضاء.</w:t>
      </w:r>
    </w:p>
    <w:p w14:paraId="69E871E1" w14:textId="79975796" w:rsidR="000B7947" w:rsidRPr="009257C1" w:rsidRDefault="000B7947" w:rsidP="000B7947">
      <w:pPr>
        <w:bidi/>
        <w:spacing w:before="100" w:beforeAutospacing="1" w:after="0" w:line="240" w:lineRule="auto"/>
        <w:ind w:left="284"/>
        <w:jc w:val="both"/>
        <w:rPr>
          <w:rFonts w:ascii="Arial" w:hAnsi="Arial" w:cs="Arial"/>
          <w:rtl/>
        </w:rPr>
      </w:pPr>
      <w:r w:rsidRPr="009257C1">
        <w:rPr>
          <w:rFonts w:ascii="Arial" w:hAnsi="Arial" w:cs="Arial"/>
          <w:b/>
          <w:bCs/>
          <w:rtl/>
        </w:rPr>
        <w:t>الفصل 3 –</w:t>
      </w:r>
      <w:r w:rsidRPr="009257C1">
        <w:rPr>
          <w:rFonts w:ascii="Arial" w:hAnsi="Arial" w:cs="Arial"/>
          <w:rtl/>
        </w:rPr>
        <w:t xml:space="preserve"> تتولى الهيئة العليا </w:t>
      </w:r>
      <w:r w:rsidR="009257C1" w:rsidRPr="009257C1">
        <w:rPr>
          <w:rFonts w:ascii="Arial" w:hAnsi="Arial" w:cs="Arial" w:hint="cs"/>
          <w:rtl/>
        </w:rPr>
        <w:t>للرقابة</w:t>
      </w:r>
      <w:r w:rsidRPr="009257C1">
        <w:rPr>
          <w:rFonts w:ascii="Arial" w:hAnsi="Arial" w:cs="Arial"/>
          <w:rtl/>
        </w:rPr>
        <w:t xml:space="preserve"> الإدارية والمالية إعداد ونشر تقرير تأليفي سنوي يحتوي على نتائج أعمالها في مجال متابعة تقارير الرقابة والتقييم وذلك في أجل أقصاه الثلاثية الثالثة من السنة الموالية للسنة التي أعد بعنوانها التقرير. وينشر هذا التقرير على الموقع الالكتروني الرسمي للهيئة.</w:t>
      </w:r>
    </w:p>
    <w:p w14:paraId="49DAAB3A" w14:textId="340A548A" w:rsidR="000B7947" w:rsidRPr="009257C1" w:rsidRDefault="000B7947" w:rsidP="000B7947">
      <w:pPr>
        <w:bidi/>
        <w:spacing w:before="100" w:beforeAutospacing="1" w:after="0" w:line="240" w:lineRule="auto"/>
        <w:ind w:left="284"/>
        <w:jc w:val="both"/>
        <w:rPr>
          <w:rFonts w:ascii="Arial" w:hAnsi="Arial" w:cs="Arial"/>
          <w:rtl/>
        </w:rPr>
      </w:pPr>
      <w:r w:rsidRPr="009257C1">
        <w:rPr>
          <w:rFonts w:ascii="Arial" w:hAnsi="Arial" w:cs="Arial"/>
          <w:b/>
          <w:bCs/>
          <w:rtl/>
        </w:rPr>
        <w:t>الفصل 4 –</w:t>
      </w:r>
      <w:r w:rsidRPr="009257C1">
        <w:rPr>
          <w:rFonts w:ascii="Arial" w:hAnsi="Arial" w:cs="Arial"/>
          <w:rtl/>
        </w:rPr>
        <w:t xml:space="preserve"> تراعى عند نشر التقارير التأليفية السنوية لهياكل الرقابة </w:t>
      </w:r>
      <w:r w:rsidR="009257C1" w:rsidRPr="009257C1">
        <w:rPr>
          <w:rFonts w:ascii="Arial" w:hAnsi="Arial" w:cs="Arial"/>
          <w:rtl/>
        </w:rPr>
        <w:t>العامة والهيئة</w:t>
      </w:r>
      <w:r w:rsidRPr="009257C1">
        <w:rPr>
          <w:rFonts w:ascii="Arial" w:hAnsi="Arial" w:cs="Arial"/>
          <w:rtl/>
        </w:rPr>
        <w:t xml:space="preserve"> العليا للرقابة الإدارية والمالية المبادئ والمقتضيات التالية: </w:t>
      </w:r>
    </w:p>
    <w:p w14:paraId="6B065851" w14:textId="0913BED0" w:rsidR="000B7947" w:rsidRPr="009257C1" w:rsidRDefault="000B7947" w:rsidP="009257C1">
      <w:pPr>
        <w:pStyle w:val="Paragraphedeliste"/>
        <w:numPr>
          <w:ilvl w:val="0"/>
          <w:numId w:val="13"/>
        </w:numPr>
        <w:bidi/>
        <w:spacing w:before="100" w:beforeAutospacing="1" w:after="0" w:line="240" w:lineRule="auto"/>
        <w:ind w:left="927"/>
        <w:jc w:val="both"/>
        <w:rPr>
          <w:rFonts w:ascii="Arial" w:hAnsi="Arial" w:cs="Arial"/>
          <w:rtl/>
        </w:rPr>
      </w:pPr>
      <w:r w:rsidRPr="009257C1">
        <w:rPr>
          <w:rFonts w:ascii="Arial" w:hAnsi="Arial" w:cs="Arial"/>
          <w:rtl/>
        </w:rPr>
        <w:t xml:space="preserve">وضوح المعطيات المضمنة بالتقارير وقابليتها للفهم، </w:t>
      </w:r>
    </w:p>
    <w:p w14:paraId="7CA60B7D" w14:textId="7A2A8697" w:rsidR="000B7947" w:rsidRPr="009257C1" w:rsidRDefault="000B7947" w:rsidP="009257C1">
      <w:pPr>
        <w:pStyle w:val="Paragraphedeliste"/>
        <w:numPr>
          <w:ilvl w:val="0"/>
          <w:numId w:val="13"/>
        </w:numPr>
        <w:bidi/>
        <w:spacing w:before="100" w:beforeAutospacing="1" w:after="0" w:line="240" w:lineRule="auto"/>
        <w:ind w:left="927"/>
        <w:jc w:val="both"/>
        <w:rPr>
          <w:rFonts w:ascii="Arial" w:hAnsi="Arial" w:cs="Arial"/>
          <w:rtl/>
        </w:rPr>
      </w:pPr>
      <w:r w:rsidRPr="009257C1">
        <w:rPr>
          <w:rFonts w:ascii="Arial" w:hAnsi="Arial" w:cs="Arial"/>
          <w:rtl/>
        </w:rPr>
        <w:t xml:space="preserve">تحديد المسؤوليات وقابلية إسناد أعمال التصرف، </w:t>
      </w:r>
    </w:p>
    <w:p w14:paraId="71DE59DE" w14:textId="634972C2" w:rsidR="000B7947" w:rsidRPr="009257C1" w:rsidRDefault="000B7947" w:rsidP="009257C1">
      <w:pPr>
        <w:pStyle w:val="Paragraphedeliste"/>
        <w:numPr>
          <w:ilvl w:val="0"/>
          <w:numId w:val="13"/>
        </w:numPr>
        <w:bidi/>
        <w:spacing w:before="100" w:beforeAutospacing="1" w:after="0" w:line="240" w:lineRule="auto"/>
        <w:ind w:left="927"/>
        <w:jc w:val="both"/>
        <w:rPr>
          <w:rFonts w:ascii="Arial" w:hAnsi="Arial" w:cs="Arial"/>
          <w:rtl/>
        </w:rPr>
      </w:pPr>
      <w:r w:rsidRPr="009257C1">
        <w:rPr>
          <w:rFonts w:ascii="Arial" w:hAnsi="Arial" w:cs="Arial"/>
          <w:rtl/>
        </w:rPr>
        <w:t>حماية ال</w:t>
      </w:r>
      <w:r w:rsidR="009257C1" w:rsidRPr="009257C1">
        <w:rPr>
          <w:rFonts w:ascii="Arial" w:hAnsi="Arial" w:cs="Arial"/>
          <w:rtl/>
        </w:rPr>
        <w:t xml:space="preserve">معطيات الشخصية، </w:t>
      </w:r>
    </w:p>
    <w:p w14:paraId="4365B4A2" w14:textId="77777777" w:rsidR="009257C1" w:rsidRPr="009257C1" w:rsidRDefault="009257C1" w:rsidP="009257C1">
      <w:pPr>
        <w:pStyle w:val="Paragraphedeliste"/>
        <w:numPr>
          <w:ilvl w:val="0"/>
          <w:numId w:val="13"/>
        </w:numPr>
        <w:bidi/>
        <w:spacing w:before="100" w:beforeAutospacing="1" w:after="0" w:line="240" w:lineRule="auto"/>
        <w:ind w:left="927"/>
        <w:jc w:val="both"/>
        <w:rPr>
          <w:rFonts w:ascii="Arial" w:hAnsi="Arial" w:cs="Arial"/>
          <w:rtl/>
        </w:rPr>
      </w:pPr>
      <w:r w:rsidRPr="009257C1">
        <w:rPr>
          <w:rFonts w:ascii="Arial" w:hAnsi="Arial" w:cs="Arial"/>
          <w:rtl/>
        </w:rPr>
        <w:t xml:space="preserve">حماية المعطيات لاستراتيجية الخاصة بالهياكل والمنشآت التي شملتها اعمال الرقابة والمتابعة، </w:t>
      </w:r>
    </w:p>
    <w:p w14:paraId="7F124054" w14:textId="77777777" w:rsidR="009257C1" w:rsidRPr="009257C1" w:rsidRDefault="009257C1" w:rsidP="009257C1">
      <w:pPr>
        <w:bidi/>
        <w:spacing w:before="100" w:beforeAutospacing="1" w:after="0" w:line="240" w:lineRule="auto"/>
        <w:ind w:left="284"/>
        <w:jc w:val="both"/>
        <w:rPr>
          <w:rFonts w:ascii="Arial" w:hAnsi="Arial" w:cs="Arial"/>
          <w:rtl/>
        </w:rPr>
      </w:pPr>
      <w:r w:rsidRPr="009257C1">
        <w:rPr>
          <w:rFonts w:ascii="Arial" w:hAnsi="Arial" w:cs="Arial"/>
          <w:b/>
          <w:bCs/>
          <w:rtl/>
        </w:rPr>
        <w:t>الفصل 5 –</w:t>
      </w:r>
      <w:r w:rsidRPr="009257C1">
        <w:rPr>
          <w:rFonts w:ascii="Arial" w:hAnsi="Arial" w:cs="Arial"/>
          <w:rtl/>
        </w:rPr>
        <w:t xml:space="preserve"> وزير الدولة لدى رئيس الحكومة المكلف بالوظيفة العمومية </w:t>
      </w:r>
      <w:proofErr w:type="spellStart"/>
      <w:r w:rsidRPr="009257C1">
        <w:rPr>
          <w:rFonts w:ascii="Arial" w:hAnsi="Arial" w:cs="Arial"/>
          <w:rtl/>
        </w:rPr>
        <w:t>والحوكمة</w:t>
      </w:r>
      <w:proofErr w:type="spellEnd"/>
      <w:r w:rsidRPr="009257C1">
        <w:rPr>
          <w:rFonts w:ascii="Arial" w:hAnsi="Arial" w:cs="Arial"/>
          <w:rtl/>
        </w:rPr>
        <w:t xml:space="preserve"> ومكافحة الفساد ووزير المالية ووزير أملاك الدولة والشؤون العقارية مكلفون كل فيما يخصه بتنفيذ هذا الامر الحكومي الذي ينشر بالرائد الرسمي للجمهورية التونسية.</w:t>
      </w:r>
    </w:p>
    <w:p w14:paraId="6E84449F" w14:textId="7A3AD01F" w:rsidR="009257C1" w:rsidRPr="009257C1" w:rsidRDefault="009257C1" w:rsidP="009257C1">
      <w:pPr>
        <w:bidi/>
        <w:spacing w:before="100" w:beforeAutospacing="1" w:after="0" w:line="240" w:lineRule="auto"/>
        <w:ind w:left="284"/>
        <w:jc w:val="both"/>
        <w:rPr>
          <w:rFonts w:ascii="Arial" w:hAnsi="Arial" w:cs="Arial"/>
          <w:rtl/>
        </w:rPr>
      </w:pPr>
      <w:r w:rsidRPr="009257C1">
        <w:rPr>
          <w:rFonts w:ascii="Arial" w:hAnsi="Arial" w:cs="Arial"/>
          <w:rtl/>
        </w:rPr>
        <w:t xml:space="preserve"> </w:t>
      </w:r>
    </w:p>
    <w:sectPr w:rsidR="009257C1" w:rsidRPr="009257C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A6C3D" w14:textId="77777777" w:rsidR="000401DD" w:rsidRDefault="000401DD" w:rsidP="008F3F2D">
      <w:r>
        <w:separator/>
      </w:r>
    </w:p>
  </w:endnote>
  <w:endnote w:type="continuationSeparator" w:id="0">
    <w:p w14:paraId="4B67F111" w14:textId="77777777" w:rsidR="000401DD" w:rsidRDefault="000401D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D35F97" w:rsidRPr="00C64B86" w:rsidRDefault="00D35F9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35F97" w:rsidRPr="00A00644" w:rsidRDefault="00D35F9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57C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57C1">
                            <w:rPr>
                              <w:rFonts w:ascii="Arial" w:hAnsi="Arial" w:cs="Arial"/>
                              <w:noProof/>
                              <w:sz w:val="18"/>
                              <w:szCs w:val="18"/>
                            </w:rPr>
                            <w:t>2</w:t>
                          </w:r>
                          <w:r w:rsidRPr="001E5DD5">
                            <w:rPr>
                              <w:rFonts w:ascii="Arial" w:hAnsi="Arial" w:cs="Arial"/>
                              <w:noProof/>
                              <w:sz w:val="18"/>
                              <w:szCs w:val="18"/>
                            </w:rPr>
                            <w:fldChar w:fldCharType="end"/>
                          </w:r>
                        </w:p>
                        <w:p w14:paraId="75F5800F" w14:textId="77777777" w:rsidR="00D35F97" w:rsidRDefault="00D35F9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D35F97" w:rsidRPr="00A00644" w:rsidRDefault="00D35F9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57C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57C1">
                      <w:rPr>
                        <w:rFonts w:ascii="Arial" w:hAnsi="Arial" w:cs="Arial"/>
                        <w:noProof/>
                        <w:sz w:val="18"/>
                        <w:szCs w:val="18"/>
                      </w:rPr>
                      <w:t>2</w:t>
                    </w:r>
                    <w:r w:rsidRPr="001E5DD5">
                      <w:rPr>
                        <w:rFonts w:ascii="Arial" w:hAnsi="Arial" w:cs="Arial"/>
                        <w:noProof/>
                        <w:sz w:val="18"/>
                        <w:szCs w:val="18"/>
                      </w:rPr>
                      <w:fldChar w:fldCharType="end"/>
                    </w:r>
                  </w:p>
                  <w:p w14:paraId="75F5800F" w14:textId="77777777" w:rsidR="00D35F97" w:rsidRDefault="00D35F9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D35F97" w:rsidRDefault="00D35F9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35F97" w:rsidRPr="00A00644" w:rsidRDefault="00D35F9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57C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57C1">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D35F97" w:rsidRPr="00A00644" w:rsidRDefault="00D35F9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57C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57C1">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42E9E" w14:textId="77777777" w:rsidR="000401DD" w:rsidRDefault="000401DD" w:rsidP="00696990">
      <w:pPr>
        <w:bidi/>
        <w:jc w:val="both"/>
      </w:pPr>
      <w:r>
        <w:separator/>
      </w:r>
    </w:p>
  </w:footnote>
  <w:footnote w:type="continuationSeparator" w:id="0">
    <w:p w14:paraId="75200F7F" w14:textId="77777777" w:rsidR="000401DD" w:rsidRDefault="000401D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1640D17B" w:rsidR="00D35F97" w:rsidRDefault="00D35F9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35F97" w:rsidRDefault="00D35F9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35F97" w:rsidRDefault="00D35F9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35F97" w:rsidRDefault="00D35F97" w:rsidP="0097472C">
                          <w:pPr>
                            <w:spacing w:after="0" w:line="240" w:lineRule="auto"/>
                            <w:ind w:left="567"/>
                            <w:rPr>
                              <w:rFonts w:ascii="Arial" w:eastAsia="Times New Roman" w:hAnsi="Arial" w:cs="Times New Roman"/>
                              <w:sz w:val="24"/>
                              <w:szCs w:val="24"/>
                            </w:rPr>
                          </w:pPr>
                        </w:p>
                        <w:p w14:paraId="62BF567A" w14:textId="77777777" w:rsidR="00D35F97" w:rsidRPr="005F7BF4" w:rsidRDefault="00D35F9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35F97" w:rsidRPr="005F7BF4" w:rsidRDefault="00D35F9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35F97" w:rsidRDefault="00D35F97" w:rsidP="0097472C">
                    <w:pPr>
                      <w:spacing w:after="0" w:line="240" w:lineRule="auto"/>
                      <w:ind w:left="567"/>
                      <w:rPr>
                        <w:rFonts w:ascii="Arial" w:eastAsia="Times New Roman" w:hAnsi="Arial" w:cs="Times New Roman"/>
                        <w:sz w:val="24"/>
                        <w:szCs w:val="24"/>
                      </w:rPr>
                    </w:pPr>
                  </w:p>
                  <w:p w14:paraId="62BF567A" w14:textId="77777777" w:rsidR="00D35F97" w:rsidRPr="005F7BF4" w:rsidRDefault="00D35F9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35F97" w:rsidRPr="005F7BF4" w:rsidRDefault="00D35F9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57BF3862" w:rsidR="00D35F97" w:rsidRDefault="00D35F9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35F97" w:rsidRDefault="00D35F97">
                          <w:r>
                            <w:rPr>
                              <w:noProof/>
                            </w:rPr>
                            <w:drawing>
                              <wp:inline distT="0" distB="0" distL="0" distR="0" wp14:anchorId="515FFF5D" wp14:editId="544452EB">
                                <wp:extent cx="1315720" cy="2901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35F97" w:rsidRDefault="00D35F97">
                    <w:r>
                      <w:rPr>
                        <w:noProof/>
                      </w:rPr>
                      <w:drawing>
                        <wp:inline distT="0" distB="0" distL="0" distR="0" wp14:anchorId="515FFF5D" wp14:editId="544452EB">
                          <wp:extent cx="1315720" cy="2901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35F97" w:rsidRDefault="00D35F97" w:rsidP="0075404E">
                          <w:pPr>
                            <w:spacing w:after="0" w:line="20" w:lineRule="atLeast"/>
                            <w:ind w:left="567"/>
                            <w:rPr>
                              <w:rFonts w:ascii="Arial" w:eastAsia="Times New Roman" w:hAnsi="Arial" w:cs="Arial"/>
                              <w:sz w:val="24"/>
                              <w:szCs w:val="20"/>
                              <w:lang w:eastAsia="en-US"/>
                            </w:rPr>
                          </w:pPr>
                        </w:p>
                        <w:p w14:paraId="769732F9" w14:textId="77777777" w:rsidR="00D35F97" w:rsidRPr="00696C4B" w:rsidRDefault="00D35F9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35F97" w:rsidRPr="00317C84" w:rsidRDefault="00D35F9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35F97" w:rsidRDefault="00D35F9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35F97" w:rsidRDefault="00D35F97" w:rsidP="0075404E">
                    <w:pPr>
                      <w:spacing w:after="0" w:line="20" w:lineRule="atLeast"/>
                      <w:ind w:left="567"/>
                      <w:rPr>
                        <w:rFonts w:ascii="Arial" w:eastAsia="Times New Roman" w:hAnsi="Arial" w:cs="Arial"/>
                        <w:sz w:val="24"/>
                        <w:szCs w:val="20"/>
                        <w:lang w:eastAsia="en-US"/>
                      </w:rPr>
                    </w:pPr>
                  </w:p>
                  <w:p w14:paraId="769732F9" w14:textId="77777777" w:rsidR="00D35F97" w:rsidRPr="00696C4B" w:rsidRDefault="00D35F9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35F97" w:rsidRPr="00317C84" w:rsidRDefault="00D35F9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35F97" w:rsidRDefault="00D35F97"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3A9"/>
    <w:multiLevelType w:val="hybridMultilevel"/>
    <w:tmpl w:val="FF3671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5E97438"/>
    <w:multiLevelType w:val="hybridMultilevel"/>
    <w:tmpl w:val="C08C4B32"/>
    <w:lvl w:ilvl="0" w:tplc="C2CCB296">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739415B"/>
    <w:multiLevelType w:val="hybridMultilevel"/>
    <w:tmpl w:val="1C404AF0"/>
    <w:lvl w:ilvl="0" w:tplc="6E5C5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B2BEF"/>
    <w:multiLevelType w:val="hybridMultilevel"/>
    <w:tmpl w:val="88164A68"/>
    <w:lvl w:ilvl="0" w:tplc="D1402F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09CB521A"/>
    <w:multiLevelType w:val="hybridMultilevel"/>
    <w:tmpl w:val="00D8ABFC"/>
    <w:lvl w:ilvl="0" w:tplc="6E5C5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0772AB"/>
    <w:multiLevelType w:val="hybridMultilevel"/>
    <w:tmpl w:val="96C0EA22"/>
    <w:lvl w:ilvl="0" w:tplc="040C000D">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
    <w:nsid w:val="10DF645E"/>
    <w:multiLevelType w:val="hybridMultilevel"/>
    <w:tmpl w:val="87AEB9E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41A4C15"/>
    <w:multiLevelType w:val="hybridMultilevel"/>
    <w:tmpl w:val="00063A38"/>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9B158BC"/>
    <w:multiLevelType w:val="hybridMultilevel"/>
    <w:tmpl w:val="D3CE25CE"/>
    <w:lvl w:ilvl="0" w:tplc="C2CCB29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41E9522C"/>
    <w:multiLevelType w:val="hybridMultilevel"/>
    <w:tmpl w:val="5C50EE3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554F11CD"/>
    <w:multiLevelType w:val="hybridMultilevel"/>
    <w:tmpl w:val="A6745036"/>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587378F6"/>
    <w:multiLevelType w:val="hybridMultilevel"/>
    <w:tmpl w:val="C9CAD968"/>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
    <w:nsid w:val="5E9B2AEE"/>
    <w:multiLevelType w:val="hybridMultilevel"/>
    <w:tmpl w:val="AFA281BC"/>
    <w:lvl w:ilvl="0" w:tplc="C2CCB29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5"/>
  </w:num>
  <w:num w:numId="6">
    <w:abstractNumId w:val="10"/>
  </w:num>
  <w:num w:numId="7">
    <w:abstractNumId w:val="0"/>
  </w:num>
  <w:num w:numId="8">
    <w:abstractNumId w:val="12"/>
  </w:num>
  <w:num w:numId="9">
    <w:abstractNumId w:val="1"/>
  </w:num>
  <w:num w:numId="10">
    <w:abstractNumId w:val="8"/>
  </w:num>
  <w:num w:numId="11">
    <w:abstractNumId w:val="4"/>
  </w:num>
  <w:num w:numId="12">
    <w:abstractNumId w:val="6"/>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3161"/>
    <w:rsid w:val="00004189"/>
    <w:rsid w:val="0002698D"/>
    <w:rsid w:val="0003352E"/>
    <w:rsid w:val="00034C76"/>
    <w:rsid w:val="000401DD"/>
    <w:rsid w:val="00052372"/>
    <w:rsid w:val="00053C64"/>
    <w:rsid w:val="0006269F"/>
    <w:rsid w:val="000711BE"/>
    <w:rsid w:val="000800EA"/>
    <w:rsid w:val="00082866"/>
    <w:rsid w:val="00082AD5"/>
    <w:rsid w:val="000856EB"/>
    <w:rsid w:val="00092843"/>
    <w:rsid w:val="00092DE2"/>
    <w:rsid w:val="00094E16"/>
    <w:rsid w:val="00095334"/>
    <w:rsid w:val="000B0D20"/>
    <w:rsid w:val="000B3CD4"/>
    <w:rsid w:val="000B7947"/>
    <w:rsid w:val="000D1B53"/>
    <w:rsid w:val="000D7802"/>
    <w:rsid w:val="000E3E65"/>
    <w:rsid w:val="000E5A60"/>
    <w:rsid w:val="000F08DA"/>
    <w:rsid w:val="000F2FF3"/>
    <w:rsid w:val="00100229"/>
    <w:rsid w:val="00121D66"/>
    <w:rsid w:val="001259C1"/>
    <w:rsid w:val="00127429"/>
    <w:rsid w:val="00131332"/>
    <w:rsid w:val="00134668"/>
    <w:rsid w:val="0015113D"/>
    <w:rsid w:val="00152992"/>
    <w:rsid w:val="001543CD"/>
    <w:rsid w:val="001643B6"/>
    <w:rsid w:val="00181A85"/>
    <w:rsid w:val="001B10F2"/>
    <w:rsid w:val="001B165D"/>
    <w:rsid w:val="001B7E86"/>
    <w:rsid w:val="001C4FA9"/>
    <w:rsid w:val="001E4162"/>
    <w:rsid w:val="001E5DD5"/>
    <w:rsid w:val="001F0163"/>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2E67D4"/>
    <w:rsid w:val="0030340B"/>
    <w:rsid w:val="003040F9"/>
    <w:rsid w:val="00306AB7"/>
    <w:rsid w:val="00311B43"/>
    <w:rsid w:val="00330209"/>
    <w:rsid w:val="00334BF8"/>
    <w:rsid w:val="00350AB4"/>
    <w:rsid w:val="00354137"/>
    <w:rsid w:val="003752C0"/>
    <w:rsid w:val="00381A58"/>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1763D"/>
    <w:rsid w:val="00425178"/>
    <w:rsid w:val="00437520"/>
    <w:rsid w:val="004421E2"/>
    <w:rsid w:val="0044546E"/>
    <w:rsid w:val="004529F4"/>
    <w:rsid w:val="00453596"/>
    <w:rsid w:val="00490B6E"/>
    <w:rsid w:val="00496D4E"/>
    <w:rsid w:val="004D03AF"/>
    <w:rsid w:val="004D4882"/>
    <w:rsid w:val="004D72D1"/>
    <w:rsid w:val="00501F7A"/>
    <w:rsid w:val="0050531C"/>
    <w:rsid w:val="005058F3"/>
    <w:rsid w:val="005177E1"/>
    <w:rsid w:val="005219FA"/>
    <w:rsid w:val="0052231B"/>
    <w:rsid w:val="005407ED"/>
    <w:rsid w:val="00553D71"/>
    <w:rsid w:val="0055499B"/>
    <w:rsid w:val="00580CC0"/>
    <w:rsid w:val="0059327F"/>
    <w:rsid w:val="0059517C"/>
    <w:rsid w:val="005D17EC"/>
    <w:rsid w:val="005D516D"/>
    <w:rsid w:val="005E2AA2"/>
    <w:rsid w:val="005F7250"/>
    <w:rsid w:val="005F7BF4"/>
    <w:rsid w:val="00610A8F"/>
    <w:rsid w:val="00614E8F"/>
    <w:rsid w:val="00640F13"/>
    <w:rsid w:val="0065154F"/>
    <w:rsid w:val="00651B7A"/>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39B1"/>
    <w:rsid w:val="007A7245"/>
    <w:rsid w:val="007B54B3"/>
    <w:rsid w:val="007C6F68"/>
    <w:rsid w:val="007E6E39"/>
    <w:rsid w:val="007F729E"/>
    <w:rsid w:val="008016FB"/>
    <w:rsid w:val="0080602C"/>
    <w:rsid w:val="008326ED"/>
    <w:rsid w:val="008339E1"/>
    <w:rsid w:val="0083672D"/>
    <w:rsid w:val="00842A9C"/>
    <w:rsid w:val="00854B67"/>
    <w:rsid w:val="00854D4D"/>
    <w:rsid w:val="0086081A"/>
    <w:rsid w:val="00861945"/>
    <w:rsid w:val="00867853"/>
    <w:rsid w:val="00892073"/>
    <w:rsid w:val="008A5B5D"/>
    <w:rsid w:val="008A67C7"/>
    <w:rsid w:val="008B4EA2"/>
    <w:rsid w:val="008D59FA"/>
    <w:rsid w:val="008D73A6"/>
    <w:rsid w:val="008F3F2D"/>
    <w:rsid w:val="00923BD4"/>
    <w:rsid w:val="009248E7"/>
    <w:rsid w:val="00925024"/>
    <w:rsid w:val="009257C1"/>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2B23"/>
    <w:rsid w:val="00A26AD7"/>
    <w:rsid w:val="00A34AC4"/>
    <w:rsid w:val="00A52D91"/>
    <w:rsid w:val="00A537BE"/>
    <w:rsid w:val="00A57A24"/>
    <w:rsid w:val="00A57C3A"/>
    <w:rsid w:val="00A70B9C"/>
    <w:rsid w:val="00A762A2"/>
    <w:rsid w:val="00A81D8F"/>
    <w:rsid w:val="00A879D2"/>
    <w:rsid w:val="00A90F21"/>
    <w:rsid w:val="00AA38B8"/>
    <w:rsid w:val="00AA4191"/>
    <w:rsid w:val="00AD2268"/>
    <w:rsid w:val="00AE007A"/>
    <w:rsid w:val="00AF10CF"/>
    <w:rsid w:val="00AF2B4A"/>
    <w:rsid w:val="00B0493B"/>
    <w:rsid w:val="00B05438"/>
    <w:rsid w:val="00B16488"/>
    <w:rsid w:val="00B17393"/>
    <w:rsid w:val="00B20589"/>
    <w:rsid w:val="00B337AE"/>
    <w:rsid w:val="00B617F1"/>
    <w:rsid w:val="00B61E83"/>
    <w:rsid w:val="00B67B20"/>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769"/>
    <w:rsid w:val="00C64B86"/>
    <w:rsid w:val="00C677B5"/>
    <w:rsid w:val="00C7268B"/>
    <w:rsid w:val="00C81BBE"/>
    <w:rsid w:val="00C8468A"/>
    <w:rsid w:val="00C9512C"/>
    <w:rsid w:val="00CC08C8"/>
    <w:rsid w:val="00CC0D7E"/>
    <w:rsid w:val="00CC4ADF"/>
    <w:rsid w:val="00CE7620"/>
    <w:rsid w:val="00D00D80"/>
    <w:rsid w:val="00D07749"/>
    <w:rsid w:val="00D15555"/>
    <w:rsid w:val="00D17590"/>
    <w:rsid w:val="00D20328"/>
    <w:rsid w:val="00D20500"/>
    <w:rsid w:val="00D25AFB"/>
    <w:rsid w:val="00D27C26"/>
    <w:rsid w:val="00D32CFF"/>
    <w:rsid w:val="00D35F97"/>
    <w:rsid w:val="00D42FC2"/>
    <w:rsid w:val="00D45550"/>
    <w:rsid w:val="00D47394"/>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C2F1F"/>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UnresolvedMention">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2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532F-A639-4312-9ED7-7E173352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2</cp:revision>
  <cp:lastPrinted>2020-05-12T13:17:00Z</cp:lastPrinted>
  <dcterms:created xsi:type="dcterms:W3CDTF">2020-05-13T10:12:00Z</dcterms:created>
  <dcterms:modified xsi:type="dcterms:W3CDTF">2020-05-13T10:12:00Z</dcterms:modified>
</cp:coreProperties>
</file>