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4934" w14:textId="77777777" w:rsidR="00B469AD" w:rsidRDefault="00B469AD" w:rsidP="00B469AD">
      <w:pPr>
        <w:bidi/>
        <w:spacing w:after="0"/>
        <w:ind w:left="283"/>
        <w:jc w:val="both"/>
        <w:rPr>
          <w:rtl/>
          <w:lang w:bidi="ar-TN"/>
        </w:rPr>
      </w:pPr>
    </w:p>
    <w:p w14:paraId="323CFBD1" w14:textId="58DC38D6" w:rsidR="00D311C7" w:rsidRDefault="00D311C7" w:rsidP="00B469AD">
      <w:pPr>
        <w:bidi/>
        <w:spacing w:after="0"/>
        <w:ind w:left="283"/>
        <w:jc w:val="both"/>
        <w:rPr>
          <w:rFonts w:ascii="Arial" w:eastAsia="Calibri" w:hAnsi="Arial" w:cs="Arial"/>
          <w:b/>
          <w:bCs/>
          <w:sz w:val="24"/>
          <w:szCs w:val="24"/>
          <w:rtl/>
          <w:lang w:eastAsia="en-US" w:bidi="ar-TN"/>
        </w:rPr>
      </w:pPr>
      <w:bookmarkStart w:id="0" w:name="_GoBack"/>
      <w:r w:rsidRPr="00D311C7">
        <w:rPr>
          <w:rFonts w:ascii="Arial" w:eastAsia="Calibri" w:hAnsi="Arial" w:cs="Arial" w:hint="cs"/>
          <w:b/>
          <w:bCs/>
          <w:sz w:val="24"/>
          <w:szCs w:val="24"/>
          <w:rtl/>
          <w:lang w:eastAsia="en-US" w:bidi="ar-TN"/>
        </w:rPr>
        <w:t>أمر عدد 588 لسنة 1975 مؤرخ في 1 سبتمبر 1975</w:t>
      </w:r>
      <w:r w:rsidRPr="00D311C7">
        <w:rPr>
          <w:rFonts w:ascii="Arial" w:eastAsia="Calibri" w:hAnsi="Arial" w:cs="Arial"/>
          <w:b/>
          <w:bCs/>
          <w:sz w:val="24"/>
          <w:szCs w:val="24"/>
          <w:lang w:eastAsia="en-US" w:bidi="ar-TN"/>
        </w:rPr>
        <w:t xml:space="preserve"> </w:t>
      </w:r>
      <w:r w:rsidRPr="00D311C7">
        <w:rPr>
          <w:rFonts w:ascii="Arial" w:eastAsia="Calibri" w:hAnsi="Arial" w:cs="Arial" w:hint="cs"/>
          <w:b/>
          <w:bCs/>
          <w:sz w:val="24"/>
          <w:szCs w:val="24"/>
          <w:rtl/>
          <w:lang w:eastAsia="en-US" w:bidi="ar-TN"/>
        </w:rPr>
        <w:t>يتعلق بإحداث منحة جملية لفائدة التلامذة المنتدبين في نطاق المدارس التكوينية</w:t>
      </w:r>
    </w:p>
    <w:bookmarkEnd w:id="0"/>
    <w:p w14:paraId="1DBC38D0" w14:textId="77777777" w:rsidR="00B469AD" w:rsidRPr="00D311C7" w:rsidRDefault="00B469AD" w:rsidP="00B469AD">
      <w:pPr>
        <w:bidi/>
        <w:spacing w:after="0"/>
        <w:ind w:left="283"/>
        <w:jc w:val="both"/>
        <w:rPr>
          <w:rFonts w:ascii="Arial" w:eastAsia="Calibri" w:hAnsi="Arial" w:cs="Arial"/>
          <w:b/>
          <w:bCs/>
          <w:sz w:val="24"/>
          <w:szCs w:val="24"/>
          <w:rtl/>
          <w:lang w:eastAsia="en-US" w:bidi="ar-TN"/>
        </w:rPr>
      </w:pPr>
    </w:p>
    <w:p w14:paraId="68953E37"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نحن الحبيب بورقيبة، رئيس الجمهورية التونسية،</w:t>
      </w:r>
    </w:p>
    <w:p w14:paraId="4080B426"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بعد اطلاعنا على القانون عدد 19 لسنة 1967 المؤرخ في 3 ماي 1967 المتعلق بالخدمة العسكرية .</w:t>
      </w:r>
    </w:p>
    <w:p w14:paraId="248BEC6C"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وعلى القانون عدد 20 لسنة 1967 المؤرخ في 31 ماي 1967 المتعلق بضبط القانون الأساسي العام للعسكريين.</w:t>
      </w:r>
    </w:p>
    <w:p w14:paraId="26F9C42D"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وعلى الأمر عدد 380 لسنة 1972 المؤرخ في 6 ديسمبر 1972 المتعلق بضبط القانون الأساسي الخاص بالعسكريين.</w:t>
      </w:r>
    </w:p>
    <w:p w14:paraId="56E7BD20"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 xml:space="preserve">وعلى اقتراح وزير الدفاع الوطني </w:t>
      </w:r>
    </w:p>
    <w:p w14:paraId="134F591B"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وعلى رأي وزير المالية</w:t>
      </w:r>
    </w:p>
    <w:p w14:paraId="661A2A89"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وعلى رأي المحكمة الإدارية.</w:t>
      </w:r>
    </w:p>
    <w:p w14:paraId="14DEBFC9"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أصدرنا أمرنا هذا بما يأتي:</w:t>
      </w:r>
    </w:p>
    <w:p w14:paraId="407038B8"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1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يتمتع التلامذة المنتدبين في نطاق المدارس التكوينية (مدرسة عسكرية أو كل مدرسة أو جامعة موافق عليها من طرف وزير الدفاع الوطني) خلال مدة دراستهم وحسب مستوى الدروس التابعين لها بمنحة جميلة وهي مانعة لكل راتب أو منحة أخرى.</w:t>
      </w:r>
    </w:p>
    <w:p w14:paraId="39C43360" w14:textId="7D2B124E" w:rsidR="00B469AD" w:rsidRPr="00B469AD" w:rsidRDefault="00B469AD" w:rsidP="00B469AD">
      <w:pPr>
        <w:bidi/>
        <w:spacing w:before="120" w:after="120" w:line="240" w:lineRule="auto"/>
        <w:ind w:left="284"/>
        <w:jc w:val="both"/>
        <w:rPr>
          <w:rFonts w:ascii="Arial" w:eastAsia="MS Mincho" w:hAnsi="Arial" w:cs="Arial"/>
          <w:rtl/>
          <w:lang w:bidi="ar-TN"/>
        </w:rPr>
      </w:pPr>
      <w:r w:rsidRPr="00B469AD">
        <w:rPr>
          <w:rFonts w:ascii="Arial" w:eastAsia="MS Mincho" w:hAnsi="Arial" w:cs="Arial" w:hint="cs"/>
          <w:b/>
          <w:bCs/>
          <w:rtl/>
          <w:lang w:bidi="ar-TN"/>
        </w:rPr>
        <w:t>الفصل</w:t>
      </w:r>
      <w:r w:rsidRPr="00B469AD">
        <w:rPr>
          <w:rFonts w:ascii="Arial" w:eastAsia="MS Mincho" w:hAnsi="Arial" w:cs="Arial"/>
          <w:b/>
          <w:bCs/>
          <w:rtl/>
          <w:lang w:bidi="ar-TN"/>
        </w:rPr>
        <w:t xml:space="preserve"> 2 (</w:t>
      </w:r>
      <w:r w:rsidRPr="00B469AD">
        <w:rPr>
          <w:rFonts w:ascii="Arial" w:eastAsia="MS Mincho" w:hAnsi="Arial" w:cs="Arial" w:hint="cs"/>
          <w:b/>
          <w:bCs/>
          <w:rtl/>
          <w:lang w:bidi="ar-TN"/>
        </w:rPr>
        <w:t>جديد</w:t>
      </w:r>
      <w:r w:rsidRPr="00B469AD">
        <w:rPr>
          <w:rFonts w:ascii="Arial" w:eastAsia="MS Mincho" w:hAnsi="Arial" w:cs="Arial"/>
          <w:b/>
          <w:bCs/>
          <w:rtl/>
          <w:lang w:bidi="ar-TN"/>
        </w:rPr>
        <w:t>)</w:t>
      </w:r>
      <w:r w:rsidRPr="00B469AD">
        <w:rPr>
          <w:rFonts w:ascii="Arial" w:eastAsia="MS Mincho" w:hAnsi="Arial" w:cs="Arial" w:hint="cs"/>
          <w:b/>
          <w:bCs/>
          <w:rtl/>
          <w:lang w:bidi="ar-TN"/>
        </w:rPr>
        <w:t xml:space="preserve"> –</w:t>
      </w:r>
      <w:r w:rsidRPr="00B469AD">
        <w:rPr>
          <w:rFonts w:ascii="Arial" w:eastAsia="MS Mincho" w:hAnsi="Arial" w:cs="Arial" w:hint="cs"/>
          <w:rtl/>
          <w:lang w:bidi="ar-TN"/>
        </w:rPr>
        <w:t xml:space="preserve"> </w:t>
      </w:r>
      <w:r w:rsidRPr="00B469AD">
        <w:rPr>
          <w:rFonts w:ascii="Arial" w:eastAsia="MS Mincho" w:hAnsi="Arial" w:cs="Arial" w:hint="cs"/>
          <w:b/>
          <w:bCs/>
          <w:rtl/>
          <w:lang w:bidi="ar-TN"/>
        </w:rPr>
        <w:t>نقح بمقتضى الأمر</w:t>
      </w:r>
      <w:r w:rsidRPr="00B469AD">
        <w:rPr>
          <w:rFonts w:ascii="Arial" w:eastAsia="MS Mincho" w:hAnsi="Arial" w:cs="Arial"/>
          <w:b/>
          <w:bCs/>
          <w:rtl/>
          <w:lang w:bidi="ar-TN"/>
        </w:rPr>
        <w:t xml:space="preserve"> </w:t>
      </w:r>
      <w:r w:rsidRPr="00B469AD">
        <w:rPr>
          <w:rFonts w:ascii="Arial" w:eastAsia="MS Mincho" w:hAnsi="Arial" w:cs="Arial" w:hint="cs"/>
          <w:b/>
          <w:bCs/>
          <w:rtl/>
          <w:lang w:bidi="ar-TN"/>
        </w:rPr>
        <w:t>الحكومي</w:t>
      </w:r>
      <w:r w:rsidRPr="00B469AD">
        <w:rPr>
          <w:rFonts w:ascii="Arial" w:eastAsia="MS Mincho" w:hAnsi="Arial" w:cs="Arial"/>
          <w:b/>
          <w:bCs/>
          <w:rtl/>
          <w:lang w:bidi="ar-TN"/>
        </w:rPr>
        <w:t xml:space="preserve"> </w:t>
      </w:r>
      <w:r w:rsidRPr="00B469AD">
        <w:rPr>
          <w:rFonts w:ascii="Arial" w:eastAsia="MS Mincho" w:hAnsi="Arial" w:cs="Arial" w:hint="cs"/>
          <w:b/>
          <w:bCs/>
          <w:rtl/>
          <w:lang w:bidi="ar-TN"/>
        </w:rPr>
        <w:t>عدد</w:t>
      </w:r>
      <w:r w:rsidRPr="00B469AD">
        <w:rPr>
          <w:rFonts w:ascii="Arial" w:eastAsia="MS Mincho" w:hAnsi="Arial" w:cs="Arial"/>
          <w:b/>
          <w:bCs/>
          <w:rtl/>
          <w:lang w:bidi="ar-TN"/>
        </w:rPr>
        <w:t xml:space="preserve"> 600 </w:t>
      </w:r>
      <w:r w:rsidRPr="00B469AD">
        <w:rPr>
          <w:rFonts w:ascii="Arial" w:eastAsia="MS Mincho" w:hAnsi="Arial" w:cs="Arial" w:hint="cs"/>
          <w:b/>
          <w:bCs/>
          <w:rtl/>
          <w:lang w:bidi="ar-TN"/>
        </w:rPr>
        <w:t>لسنة</w:t>
      </w:r>
      <w:r w:rsidRPr="00B469AD">
        <w:rPr>
          <w:rFonts w:ascii="Arial" w:eastAsia="MS Mincho" w:hAnsi="Arial" w:cs="Arial"/>
          <w:b/>
          <w:bCs/>
          <w:rtl/>
          <w:lang w:bidi="ar-TN"/>
        </w:rPr>
        <w:t xml:space="preserve"> 2018 </w:t>
      </w:r>
      <w:r w:rsidRPr="00B469AD">
        <w:rPr>
          <w:rFonts w:ascii="Arial" w:eastAsia="MS Mincho" w:hAnsi="Arial" w:cs="Arial" w:hint="cs"/>
          <w:b/>
          <w:bCs/>
          <w:rtl/>
          <w:lang w:bidi="ar-TN"/>
        </w:rPr>
        <w:t>المؤرخ</w:t>
      </w:r>
      <w:r w:rsidRPr="00B469AD">
        <w:rPr>
          <w:rFonts w:ascii="Arial" w:eastAsia="MS Mincho" w:hAnsi="Arial" w:cs="Arial"/>
          <w:b/>
          <w:bCs/>
          <w:rtl/>
          <w:lang w:bidi="ar-TN"/>
        </w:rPr>
        <w:t xml:space="preserve"> </w:t>
      </w:r>
      <w:r w:rsidRPr="00B469AD">
        <w:rPr>
          <w:rFonts w:ascii="Arial" w:eastAsia="MS Mincho" w:hAnsi="Arial" w:cs="Arial" w:hint="cs"/>
          <w:b/>
          <w:bCs/>
          <w:rtl/>
          <w:lang w:bidi="ar-TN"/>
        </w:rPr>
        <w:t>في</w:t>
      </w:r>
      <w:r w:rsidRPr="00B469AD">
        <w:rPr>
          <w:rFonts w:ascii="Arial" w:eastAsia="MS Mincho" w:hAnsi="Arial" w:cs="Arial"/>
          <w:b/>
          <w:bCs/>
          <w:rtl/>
          <w:lang w:bidi="ar-TN"/>
        </w:rPr>
        <w:t xml:space="preserve"> 16 </w:t>
      </w:r>
      <w:r w:rsidRPr="00B469AD">
        <w:rPr>
          <w:rFonts w:ascii="Arial" w:eastAsia="MS Mincho" w:hAnsi="Arial" w:cs="Arial" w:hint="cs"/>
          <w:b/>
          <w:bCs/>
          <w:rtl/>
          <w:lang w:bidi="ar-TN"/>
        </w:rPr>
        <w:t>جويلية</w:t>
      </w:r>
      <w:r w:rsidRPr="00B469AD">
        <w:rPr>
          <w:rFonts w:ascii="Arial" w:eastAsia="MS Mincho" w:hAnsi="Arial" w:cs="Arial"/>
          <w:b/>
          <w:bCs/>
          <w:rtl/>
          <w:lang w:bidi="ar-TN"/>
        </w:rPr>
        <w:t xml:space="preserve"> 2018</w:t>
      </w:r>
      <w:r w:rsidRPr="00B469AD">
        <w:rPr>
          <w:rFonts w:ascii="Arial" w:eastAsia="MS Mincho" w:hAnsi="Arial" w:cs="Arial" w:hint="cs"/>
          <w:b/>
          <w:bCs/>
          <w:rtl/>
          <w:lang w:bidi="ar-TN"/>
        </w:rPr>
        <w:t xml:space="preserve"> </w:t>
      </w:r>
      <w:r w:rsidRPr="00B469AD">
        <w:rPr>
          <w:rFonts w:ascii="Arial" w:eastAsia="MS Mincho" w:hAnsi="Arial" w:cs="Arial"/>
          <w:b/>
          <w:bCs/>
          <w:rtl/>
          <w:lang w:bidi="ar-TN"/>
        </w:rPr>
        <w:t>–</w:t>
      </w:r>
      <w:r>
        <w:rPr>
          <w:rFonts w:ascii="Arial" w:eastAsia="MS Mincho" w:hAnsi="Arial" w:cs="Arial" w:hint="cs"/>
          <w:rtl/>
          <w:lang w:bidi="ar-TN"/>
        </w:rPr>
        <w:t xml:space="preserve"> </w:t>
      </w:r>
      <w:r w:rsidRPr="00B469AD">
        <w:rPr>
          <w:rFonts w:ascii="Arial" w:eastAsia="MS Mincho" w:hAnsi="Arial" w:cs="Arial" w:hint="cs"/>
          <w:rtl/>
          <w:lang w:bidi="ar-TN"/>
        </w:rPr>
        <w:t>يقع</w:t>
      </w:r>
      <w:r w:rsidRPr="00B469AD">
        <w:rPr>
          <w:rFonts w:ascii="Arial" w:eastAsia="MS Mincho" w:hAnsi="Arial" w:cs="Arial"/>
          <w:rtl/>
          <w:lang w:bidi="ar-TN"/>
        </w:rPr>
        <w:t xml:space="preserve"> </w:t>
      </w:r>
      <w:r w:rsidRPr="00B469AD">
        <w:rPr>
          <w:rFonts w:ascii="Arial" w:eastAsia="MS Mincho" w:hAnsi="Arial" w:cs="Arial" w:hint="cs"/>
          <w:rtl/>
          <w:lang w:bidi="ar-TN"/>
        </w:rPr>
        <w:t>ضبط</w:t>
      </w:r>
      <w:r w:rsidRPr="00B469AD">
        <w:rPr>
          <w:rFonts w:ascii="Arial" w:eastAsia="MS Mincho" w:hAnsi="Arial" w:cs="Arial"/>
          <w:rtl/>
          <w:lang w:bidi="ar-TN"/>
        </w:rPr>
        <w:t xml:space="preserve"> </w:t>
      </w:r>
      <w:r w:rsidRPr="00B469AD">
        <w:rPr>
          <w:rFonts w:ascii="Arial" w:eastAsia="MS Mincho" w:hAnsi="Arial" w:cs="Arial" w:hint="cs"/>
          <w:rtl/>
          <w:lang w:bidi="ar-TN"/>
        </w:rPr>
        <w:t>مبلغ</w:t>
      </w:r>
      <w:r w:rsidRPr="00B469AD">
        <w:rPr>
          <w:rFonts w:ascii="Arial" w:eastAsia="MS Mincho" w:hAnsi="Arial" w:cs="Arial"/>
          <w:rtl/>
          <w:lang w:bidi="ar-TN"/>
        </w:rPr>
        <w:t xml:space="preserve"> </w:t>
      </w:r>
      <w:r w:rsidRPr="00B469AD">
        <w:rPr>
          <w:rFonts w:ascii="Arial" w:eastAsia="MS Mincho" w:hAnsi="Arial" w:cs="Arial" w:hint="cs"/>
          <w:rtl/>
          <w:lang w:bidi="ar-TN"/>
        </w:rPr>
        <w:t>هذه</w:t>
      </w:r>
      <w:r w:rsidRPr="00B469AD">
        <w:rPr>
          <w:rFonts w:ascii="Arial" w:eastAsia="MS Mincho" w:hAnsi="Arial" w:cs="Arial"/>
          <w:rtl/>
          <w:lang w:bidi="ar-TN"/>
        </w:rPr>
        <w:t xml:space="preserve"> </w:t>
      </w:r>
      <w:r w:rsidRPr="00B469AD">
        <w:rPr>
          <w:rFonts w:ascii="Arial" w:eastAsia="MS Mincho" w:hAnsi="Arial" w:cs="Arial" w:hint="cs"/>
          <w:rtl/>
          <w:lang w:bidi="ar-TN"/>
        </w:rPr>
        <w:t>المنحة</w:t>
      </w:r>
      <w:r w:rsidRPr="00B469AD">
        <w:rPr>
          <w:rFonts w:ascii="Arial" w:eastAsia="MS Mincho" w:hAnsi="Arial" w:cs="Arial"/>
          <w:rtl/>
          <w:lang w:bidi="ar-TN"/>
        </w:rPr>
        <w:t xml:space="preserve"> </w:t>
      </w:r>
      <w:r w:rsidRPr="00B469AD">
        <w:rPr>
          <w:rFonts w:ascii="Arial" w:eastAsia="MS Mincho" w:hAnsi="Arial" w:cs="Arial" w:hint="cs"/>
          <w:rtl/>
          <w:lang w:bidi="ar-TN"/>
        </w:rPr>
        <w:t>حسب</w:t>
      </w:r>
      <w:r w:rsidRPr="00B469AD">
        <w:rPr>
          <w:rFonts w:ascii="Arial" w:eastAsia="MS Mincho" w:hAnsi="Arial" w:cs="Arial"/>
          <w:rtl/>
          <w:lang w:bidi="ar-TN"/>
        </w:rPr>
        <w:t xml:space="preserve"> </w:t>
      </w:r>
      <w:r w:rsidRPr="00B469AD">
        <w:rPr>
          <w:rFonts w:ascii="Arial" w:eastAsia="MS Mincho" w:hAnsi="Arial" w:cs="Arial" w:hint="cs"/>
          <w:rtl/>
          <w:lang w:bidi="ar-TN"/>
        </w:rPr>
        <w:t>الجدول</w:t>
      </w:r>
      <w:r w:rsidRPr="00B469AD">
        <w:rPr>
          <w:rFonts w:ascii="Arial" w:eastAsia="MS Mincho" w:hAnsi="Arial" w:cs="Arial"/>
          <w:rtl/>
          <w:lang w:bidi="ar-TN"/>
        </w:rPr>
        <w:t xml:space="preserve"> </w:t>
      </w:r>
      <w:r w:rsidRPr="00B469AD">
        <w:rPr>
          <w:rFonts w:ascii="Arial" w:eastAsia="MS Mincho" w:hAnsi="Arial" w:cs="Arial" w:hint="cs"/>
          <w:rtl/>
          <w:lang w:bidi="ar-TN"/>
        </w:rPr>
        <w:t>التالي</w:t>
      </w:r>
      <w:r w:rsidRPr="00B469AD">
        <w:rPr>
          <w:rFonts w:ascii="Arial" w:eastAsia="MS Mincho" w:hAnsi="Arial" w:cs="Arial"/>
          <w:lang w:bidi="ar-TN"/>
        </w:rPr>
        <w:t xml:space="preserve"> :</w:t>
      </w:r>
    </w:p>
    <w:tbl>
      <w:tblPr>
        <w:tblStyle w:val="Grilledutableau3"/>
        <w:bidiVisual/>
        <w:tblW w:w="0" w:type="auto"/>
        <w:tblInd w:w="284" w:type="dxa"/>
        <w:tblLook w:val="04A0" w:firstRow="1" w:lastRow="0" w:firstColumn="1" w:lastColumn="0" w:noHBand="0" w:noVBand="1"/>
      </w:tblPr>
      <w:tblGrid>
        <w:gridCol w:w="1866"/>
        <w:gridCol w:w="1873"/>
        <w:gridCol w:w="1866"/>
        <w:gridCol w:w="1866"/>
        <w:gridCol w:w="1871"/>
      </w:tblGrid>
      <w:tr w:rsidR="00B469AD" w:rsidRPr="00B469AD" w14:paraId="03E2FC85" w14:textId="77777777" w:rsidTr="00F35C6F">
        <w:tc>
          <w:tcPr>
            <w:tcW w:w="1866" w:type="dxa"/>
            <w:vMerge w:val="restart"/>
            <w:vAlign w:val="center"/>
          </w:tcPr>
          <w:p w14:paraId="36F3AF2F"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الصفة</w:t>
            </w:r>
          </w:p>
        </w:tc>
        <w:tc>
          <w:tcPr>
            <w:tcW w:w="7476" w:type="dxa"/>
            <w:gridSpan w:val="4"/>
            <w:vAlign w:val="center"/>
          </w:tcPr>
          <w:p w14:paraId="3D947897"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مبلغ</w:t>
            </w:r>
            <w:r w:rsidRPr="00B469AD">
              <w:rPr>
                <w:rFonts w:ascii="Arial" w:eastAsia="MS Mincho" w:hAnsi="Arial"/>
                <w:b/>
                <w:bCs/>
                <w:rtl/>
                <w:lang w:bidi="ar-TN"/>
              </w:rPr>
              <w:t xml:space="preserve"> </w:t>
            </w:r>
            <w:r w:rsidRPr="00B469AD">
              <w:rPr>
                <w:rFonts w:ascii="Arial" w:eastAsia="MS Mincho" w:hAnsi="Arial" w:hint="cs"/>
                <w:b/>
                <w:bCs/>
                <w:rtl/>
                <w:lang w:bidi="ar-TN"/>
              </w:rPr>
              <w:t>المنحة</w:t>
            </w:r>
            <w:r w:rsidRPr="00B469AD">
              <w:rPr>
                <w:rFonts w:ascii="Arial" w:eastAsia="MS Mincho" w:hAnsi="Arial"/>
                <w:b/>
                <w:bCs/>
                <w:rtl/>
                <w:lang w:bidi="ar-TN"/>
              </w:rPr>
              <w:t xml:space="preserve"> </w:t>
            </w:r>
            <w:r w:rsidRPr="00B469AD">
              <w:rPr>
                <w:rFonts w:ascii="Arial" w:eastAsia="MS Mincho" w:hAnsi="Arial" w:hint="cs"/>
                <w:b/>
                <w:bCs/>
                <w:rtl/>
                <w:lang w:bidi="ar-TN"/>
              </w:rPr>
              <w:t>الشهرية</w:t>
            </w:r>
          </w:p>
        </w:tc>
      </w:tr>
      <w:tr w:rsidR="00B469AD" w:rsidRPr="00B469AD" w14:paraId="4AAC4DE9" w14:textId="77777777" w:rsidTr="00F35C6F">
        <w:tc>
          <w:tcPr>
            <w:tcW w:w="1866" w:type="dxa"/>
            <w:vMerge/>
            <w:vAlign w:val="center"/>
          </w:tcPr>
          <w:p w14:paraId="35FE2E9E" w14:textId="77777777" w:rsidR="00B469AD" w:rsidRPr="00B469AD" w:rsidRDefault="00B469AD" w:rsidP="00B469AD">
            <w:pPr>
              <w:bidi/>
              <w:spacing w:before="120" w:after="0" w:line="240" w:lineRule="auto"/>
              <w:jc w:val="center"/>
              <w:rPr>
                <w:rFonts w:ascii="Arial" w:eastAsia="MS Mincho" w:hAnsi="Arial"/>
                <w:b/>
                <w:bCs/>
                <w:rtl/>
                <w:lang w:bidi="ar-TN"/>
              </w:rPr>
            </w:pPr>
          </w:p>
        </w:tc>
        <w:tc>
          <w:tcPr>
            <w:tcW w:w="1873" w:type="dxa"/>
            <w:vAlign w:val="center"/>
          </w:tcPr>
          <w:p w14:paraId="734F34FE"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السنة</w:t>
            </w:r>
            <w:r w:rsidRPr="00B469AD">
              <w:rPr>
                <w:rFonts w:ascii="Arial" w:eastAsia="MS Mincho" w:hAnsi="Arial"/>
                <w:b/>
                <w:bCs/>
                <w:rtl/>
                <w:lang w:bidi="ar-TN"/>
              </w:rPr>
              <w:t xml:space="preserve"> </w:t>
            </w:r>
            <w:r w:rsidRPr="00B469AD">
              <w:rPr>
                <w:rFonts w:ascii="Arial" w:eastAsia="MS Mincho" w:hAnsi="Arial" w:hint="cs"/>
                <w:b/>
                <w:bCs/>
                <w:rtl/>
                <w:lang w:bidi="ar-TN"/>
              </w:rPr>
              <w:t>الأولى</w:t>
            </w:r>
          </w:p>
        </w:tc>
        <w:tc>
          <w:tcPr>
            <w:tcW w:w="1866" w:type="dxa"/>
            <w:vAlign w:val="center"/>
          </w:tcPr>
          <w:p w14:paraId="40B0ED0F"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السنة</w:t>
            </w:r>
            <w:r w:rsidRPr="00B469AD">
              <w:rPr>
                <w:rFonts w:ascii="Arial" w:eastAsia="MS Mincho" w:hAnsi="Arial"/>
                <w:b/>
                <w:bCs/>
                <w:rtl/>
                <w:lang w:bidi="ar-TN"/>
              </w:rPr>
              <w:t xml:space="preserve"> </w:t>
            </w:r>
            <w:r w:rsidRPr="00B469AD">
              <w:rPr>
                <w:rFonts w:ascii="Arial" w:eastAsia="MS Mincho" w:hAnsi="Arial" w:hint="cs"/>
                <w:b/>
                <w:bCs/>
                <w:rtl/>
                <w:lang w:bidi="ar-TN"/>
              </w:rPr>
              <w:t>الثانية</w:t>
            </w:r>
          </w:p>
        </w:tc>
        <w:tc>
          <w:tcPr>
            <w:tcW w:w="1866" w:type="dxa"/>
            <w:vAlign w:val="center"/>
          </w:tcPr>
          <w:p w14:paraId="5E832ACB"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السنة</w:t>
            </w:r>
            <w:r w:rsidRPr="00B469AD">
              <w:rPr>
                <w:rFonts w:ascii="Arial" w:eastAsia="MS Mincho" w:hAnsi="Arial"/>
                <w:b/>
                <w:bCs/>
                <w:rtl/>
                <w:lang w:bidi="ar-TN"/>
              </w:rPr>
              <w:t xml:space="preserve"> </w:t>
            </w:r>
            <w:r w:rsidRPr="00B469AD">
              <w:rPr>
                <w:rFonts w:ascii="Arial" w:eastAsia="MS Mincho" w:hAnsi="Arial" w:hint="cs"/>
                <w:b/>
                <w:bCs/>
                <w:rtl/>
                <w:lang w:bidi="ar-TN"/>
              </w:rPr>
              <w:t>الثالثة</w:t>
            </w:r>
          </w:p>
        </w:tc>
        <w:tc>
          <w:tcPr>
            <w:tcW w:w="1871" w:type="dxa"/>
            <w:vAlign w:val="center"/>
          </w:tcPr>
          <w:p w14:paraId="690D9F7C" w14:textId="77777777" w:rsidR="00B469AD" w:rsidRPr="00B469AD" w:rsidRDefault="00B469AD" w:rsidP="00B469AD">
            <w:pPr>
              <w:bidi/>
              <w:spacing w:before="120" w:after="0" w:line="240" w:lineRule="auto"/>
              <w:jc w:val="center"/>
              <w:rPr>
                <w:rFonts w:ascii="Arial" w:eastAsia="MS Mincho" w:hAnsi="Arial"/>
                <w:b/>
                <w:bCs/>
                <w:rtl/>
                <w:lang w:bidi="ar-TN"/>
              </w:rPr>
            </w:pPr>
            <w:r w:rsidRPr="00B469AD">
              <w:rPr>
                <w:rFonts w:ascii="Arial" w:eastAsia="MS Mincho" w:hAnsi="Arial" w:hint="cs"/>
                <w:b/>
                <w:bCs/>
                <w:rtl/>
                <w:lang w:bidi="ar-TN"/>
              </w:rPr>
              <w:t>السنة</w:t>
            </w:r>
            <w:r w:rsidRPr="00B469AD">
              <w:rPr>
                <w:rFonts w:ascii="Arial" w:eastAsia="MS Mincho" w:hAnsi="Arial"/>
                <w:b/>
                <w:bCs/>
                <w:rtl/>
                <w:lang w:bidi="ar-TN"/>
              </w:rPr>
              <w:t xml:space="preserve"> </w:t>
            </w:r>
            <w:r w:rsidRPr="00B469AD">
              <w:rPr>
                <w:rFonts w:ascii="Arial" w:eastAsia="MS Mincho" w:hAnsi="Arial" w:hint="cs"/>
                <w:b/>
                <w:bCs/>
                <w:rtl/>
                <w:lang w:bidi="ar-TN"/>
              </w:rPr>
              <w:t>الرابعة</w:t>
            </w:r>
          </w:p>
        </w:tc>
      </w:tr>
      <w:tr w:rsidR="00B469AD" w:rsidRPr="00B469AD" w14:paraId="7E6C112D" w14:textId="77777777" w:rsidTr="00F35C6F">
        <w:tc>
          <w:tcPr>
            <w:tcW w:w="1866" w:type="dxa"/>
          </w:tcPr>
          <w:p w14:paraId="4F35B2C5" w14:textId="77777777" w:rsidR="00B469AD" w:rsidRPr="00B469AD" w:rsidRDefault="00B469AD" w:rsidP="00B469AD">
            <w:pPr>
              <w:bidi/>
              <w:spacing w:before="120" w:after="0" w:line="240" w:lineRule="auto"/>
              <w:jc w:val="both"/>
              <w:rPr>
                <w:rFonts w:ascii="Arial" w:eastAsia="MS Mincho" w:hAnsi="Arial"/>
                <w:rtl/>
                <w:lang w:bidi="ar-TN"/>
              </w:rPr>
            </w:pPr>
            <w:r w:rsidRPr="00B469AD">
              <w:rPr>
                <w:rFonts w:ascii="Arial" w:eastAsia="MS Mincho" w:hAnsi="Arial" w:hint="cs"/>
                <w:rtl/>
                <w:lang w:bidi="ar-TN"/>
              </w:rPr>
              <w:t>تلميذ</w:t>
            </w:r>
            <w:r w:rsidRPr="00B469AD">
              <w:rPr>
                <w:rFonts w:ascii="Arial" w:eastAsia="MS Mincho" w:hAnsi="Arial"/>
                <w:rtl/>
                <w:lang w:bidi="ar-TN"/>
              </w:rPr>
              <w:t xml:space="preserve"> </w:t>
            </w:r>
            <w:r w:rsidRPr="00B469AD">
              <w:rPr>
                <w:rFonts w:ascii="Arial" w:eastAsia="MS Mincho" w:hAnsi="Arial" w:hint="cs"/>
                <w:rtl/>
                <w:lang w:bidi="ar-TN"/>
              </w:rPr>
              <w:t>ضابط</w:t>
            </w:r>
          </w:p>
        </w:tc>
        <w:tc>
          <w:tcPr>
            <w:tcW w:w="1873" w:type="dxa"/>
            <w:vAlign w:val="center"/>
          </w:tcPr>
          <w:p w14:paraId="5A180236"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66" w:type="dxa"/>
            <w:vAlign w:val="center"/>
          </w:tcPr>
          <w:p w14:paraId="6619B8DE"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66" w:type="dxa"/>
            <w:vAlign w:val="center"/>
          </w:tcPr>
          <w:p w14:paraId="03D60208"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71" w:type="dxa"/>
            <w:vAlign w:val="center"/>
          </w:tcPr>
          <w:p w14:paraId="4418972A"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200 دينار</w:t>
            </w:r>
          </w:p>
        </w:tc>
      </w:tr>
      <w:tr w:rsidR="00B469AD" w:rsidRPr="00B469AD" w14:paraId="692D2CA4" w14:textId="77777777" w:rsidTr="00F35C6F">
        <w:tc>
          <w:tcPr>
            <w:tcW w:w="1866" w:type="dxa"/>
          </w:tcPr>
          <w:p w14:paraId="12DBF345" w14:textId="77777777" w:rsidR="00B469AD" w:rsidRPr="00B469AD" w:rsidRDefault="00B469AD" w:rsidP="00B469AD">
            <w:pPr>
              <w:bidi/>
              <w:spacing w:before="120" w:after="0" w:line="240" w:lineRule="auto"/>
              <w:jc w:val="both"/>
              <w:rPr>
                <w:rFonts w:ascii="Arial" w:eastAsia="MS Mincho" w:hAnsi="Arial"/>
                <w:rtl/>
                <w:lang w:bidi="ar-TN"/>
              </w:rPr>
            </w:pPr>
            <w:r w:rsidRPr="00B469AD">
              <w:rPr>
                <w:rFonts w:ascii="Arial" w:eastAsia="MS Mincho" w:hAnsi="Arial" w:hint="cs"/>
                <w:rtl/>
                <w:lang w:bidi="ar-TN"/>
              </w:rPr>
              <w:t>تلميذ</w:t>
            </w:r>
            <w:r w:rsidRPr="00B469AD">
              <w:rPr>
                <w:rFonts w:ascii="Arial" w:eastAsia="MS Mincho" w:hAnsi="Arial"/>
                <w:rtl/>
                <w:lang w:bidi="ar-TN"/>
              </w:rPr>
              <w:t xml:space="preserve"> </w:t>
            </w:r>
            <w:r w:rsidRPr="00B469AD">
              <w:rPr>
                <w:rFonts w:ascii="Arial" w:eastAsia="MS Mincho" w:hAnsi="Arial" w:hint="cs"/>
                <w:rtl/>
                <w:lang w:bidi="ar-TN"/>
              </w:rPr>
              <w:t>ضابط</w:t>
            </w:r>
            <w:r w:rsidRPr="00B469AD">
              <w:rPr>
                <w:rFonts w:ascii="Arial" w:eastAsia="MS Mincho" w:hAnsi="Arial"/>
                <w:rtl/>
                <w:lang w:bidi="ar-TN"/>
              </w:rPr>
              <w:t xml:space="preserve"> </w:t>
            </w:r>
            <w:r w:rsidRPr="00B469AD">
              <w:rPr>
                <w:rFonts w:ascii="Arial" w:eastAsia="MS Mincho" w:hAnsi="Arial" w:hint="cs"/>
                <w:rtl/>
                <w:lang w:bidi="ar-TN"/>
              </w:rPr>
              <w:t>صف</w:t>
            </w:r>
          </w:p>
        </w:tc>
        <w:tc>
          <w:tcPr>
            <w:tcW w:w="1873" w:type="dxa"/>
            <w:vAlign w:val="center"/>
          </w:tcPr>
          <w:p w14:paraId="1B1064BA"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66" w:type="dxa"/>
            <w:vAlign w:val="center"/>
          </w:tcPr>
          <w:p w14:paraId="5EF4F20F"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66" w:type="dxa"/>
            <w:vAlign w:val="center"/>
          </w:tcPr>
          <w:p w14:paraId="75F71604"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71" w:type="dxa"/>
            <w:vAlign w:val="center"/>
          </w:tcPr>
          <w:p w14:paraId="23149F3A" w14:textId="77777777" w:rsidR="00B469AD" w:rsidRPr="00B469AD" w:rsidRDefault="00B469AD" w:rsidP="00B469AD">
            <w:pPr>
              <w:bidi/>
              <w:spacing w:before="120" w:after="0" w:line="240" w:lineRule="auto"/>
              <w:jc w:val="center"/>
              <w:rPr>
                <w:rFonts w:ascii="Arial" w:eastAsia="MS Mincho" w:hAnsi="Arial"/>
                <w:rtl/>
                <w:lang w:bidi="ar-TN"/>
              </w:rPr>
            </w:pPr>
          </w:p>
        </w:tc>
      </w:tr>
      <w:tr w:rsidR="00B469AD" w:rsidRPr="00B469AD" w14:paraId="6E9CAF6B" w14:textId="77777777" w:rsidTr="00F35C6F">
        <w:tc>
          <w:tcPr>
            <w:tcW w:w="1866" w:type="dxa"/>
          </w:tcPr>
          <w:p w14:paraId="05166EBE" w14:textId="77777777" w:rsidR="00B469AD" w:rsidRPr="00B469AD" w:rsidRDefault="00B469AD" w:rsidP="00B469AD">
            <w:pPr>
              <w:bidi/>
              <w:spacing w:before="120" w:after="0" w:line="240" w:lineRule="auto"/>
              <w:jc w:val="both"/>
              <w:rPr>
                <w:rFonts w:ascii="Arial" w:eastAsia="MS Mincho" w:hAnsi="Arial"/>
                <w:rtl/>
                <w:lang w:bidi="ar-TN"/>
              </w:rPr>
            </w:pPr>
            <w:r w:rsidRPr="00B469AD">
              <w:rPr>
                <w:rFonts w:ascii="Arial" w:eastAsia="MS Mincho" w:hAnsi="Arial" w:hint="cs"/>
                <w:rtl/>
                <w:lang w:bidi="ar-TN"/>
              </w:rPr>
              <w:t>تلميذ</w:t>
            </w:r>
            <w:r w:rsidRPr="00B469AD">
              <w:rPr>
                <w:rFonts w:ascii="Arial" w:eastAsia="MS Mincho" w:hAnsi="Arial"/>
                <w:rtl/>
                <w:lang w:bidi="ar-TN"/>
              </w:rPr>
              <w:t xml:space="preserve"> </w:t>
            </w:r>
            <w:r w:rsidRPr="00B469AD">
              <w:rPr>
                <w:rFonts w:ascii="Arial" w:eastAsia="MS Mincho" w:hAnsi="Arial" w:hint="cs"/>
                <w:rtl/>
                <w:lang w:bidi="ar-TN"/>
              </w:rPr>
              <w:t>رقيب</w:t>
            </w:r>
          </w:p>
        </w:tc>
        <w:tc>
          <w:tcPr>
            <w:tcW w:w="1873" w:type="dxa"/>
            <w:vAlign w:val="center"/>
          </w:tcPr>
          <w:p w14:paraId="48A3165C" w14:textId="77777777" w:rsidR="00B469AD" w:rsidRPr="00B469AD" w:rsidRDefault="00B469AD" w:rsidP="00B469AD">
            <w:pPr>
              <w:bidi/>
              <w:spacing w:before="120" w:after="0" w:line="240" w:lineRule="auto"/>
              <w:jc w:val="center"/>
              <w:rPr>
                <w:rFonts w:ascii="Arial" w:eastAsia="MS Mincho" w:hAnsi="Arial"/>
                <w:rtl/>
                <w:lang w:bidi="ar-TN"/>
              </w:rPr>
            </w:pPr>
            <w:r w:rsidRPr="00B469AD">
              <w:rPr>
                <w:rFonts w:ascii="Arial" w:eastAsia="MS Mincho" w:hAnsi="Arial" w:hint="cs"/>
                <w:rtl/>
                <w:lang w:bidi="ar-TN"/>
              </w:rPr>
              <w:t>100 دينار</w:t>
            </w:r>
          </w:p>
        </w:tc>
        <w:tc>
          <w:tcPr>
            <w:tcW w:w="1866" w:type="dxa"/>
            <w:vAlign w:val="center"/>
          </w:tcPr>
          <w:p w14:paraId="339DAF20" w14:textId="77777777" w:rsidR="00B469AD" w:rsidRPr="00B469AD" w:rsidRDefault="00B469AD" w:rsidP="00B469AD">
            <w:pPr>
              <w:bidi/>
              <w:spacing w:before="120" w:after="0" w:line="240" w:lineRule="auto"/>
              <w:jc w:val="center"/>
              <w:rPr>
                <w:rFonts w:ascii="Arial" w:eastAsia="MS Mincho" w:hAnsi="Arial"/>
                <w:rtl/>
                <w:lang w:bidi="ar-TN"/>
              </w:rPr>
            </w:pPr>
          </w:p>
        </w:tc>
        <w:tc>
          <w:tcPr>
            <w:tcW w:w="1866" w:type="dxa"/>
            <w:vAlign w:val="center"/>
          </w:tcPr>
          <w:p w14:paraId="43542116" w14:textId="77777777" w:rsidR="00B469AD" w:rsidRPr="00B469AD" w:rsidRDefault="00B469AD" w:rsidP="00B469AD">
            <w:pPr>
              <w:bidi/>
              <w:spacing w:before="120" w:after="0" w:line="240" w:lineRule="auto"/>
              <w:jc w:val="center"/>
              <w:rPr>
                <w:rFonts w:ascii="Arial" w:eastAsia="MS Mincho" w:hAnsi="Arial"/>
                <w:rtl/>
                <w:lang w:bidi="ar-TN"/>
              </w:rPr>
            </w:pPr>
          </w:p>
        </w:tc>
        <w:tc>
          <w:tcPr>
            <w:tcW w:w="1871" w:type="dxa"/>
            <w:vAlign w:val="center"/>
          </w:tcPr>
          <w:p w14:paraId="0D862741" w14:textId="77777777" w:rsidR="00B469AD" w:rsidRPr="00B469AD" w:rsidRDefault="00B469AD" w:rsidP="00B469AD">
            <w:pPr>
              <w:bidi/>
              <w:spacing w:before="120" w:after="0" w:line="240" w:lineRule="auto"/>
              <w:jc w:val="center"/>
              <w:rPr>
                <w:rFonts w:ascii="Arial" w:eastAsia="MS Mincho" w:hAnsi="Arial"/>
                <w:rtl/>
                <w:lang w:bidi="ar-TN"/>
              </w:rPr>
            </w:pPr>
          </w:p>
        </w:tc>
      </w:tr>
    </w:tbl>
    <w:p w14:paraId="0C028EAA" w14:textId="77777777" w:rsidR="00B469AD" w:rsidRPr="00B469AD" w:rsidRDefault="00B469AD" w:rsidP="00B469AD">
      <w:pPr>
        <w:bidi/>
        <w:spacing w:before="120" w:after="0" w:line="240" w:lineRule="auto"/>
        <w:ind w:left="283"/>
        <w:jc w:val="both"/>
        <w:rPr>
          <w:rFonts w:ascii="Arial" w:eastAsia="MS Mincho" w:hAnsi="Arial" w:cs="Arial"/>
          <w:rtl/>
          <w:lang w:bidi="ar-TN"/>
        </w:rPr>
      </w:pPr>
      <w:r w:rsidRPr="00B469AD">
        <w:rPr>
          <w:rFonts w:ascii="Arial" w:eastAsia="MS Mincho" w:hAnsi="Arial" w:cs="Arial" w:hint="cs"/>
          <w:rtl/>
          <w:lang w:bidi="ar-TN"/>
        </w:rPr>
        <w:t>وتدفع</w:t>
      </w:r>
      <w:r w:rsidRPr="00B469AD">
        <w:rPr>
          <w:rFonts w:ascii="Arial" w:eastAsia="MS Mincho" w:hAnsi="Arial" w:cs="Arial"/>
          <w:rtl/>
          <w:lang w:bidi="ar-TN"/>
        </w:rPr>
        <w:t xml:space="preserve"> </w:t>
      </w:r>
      <w:r w:rsidRPr="00B469AD">
        <w:rPr>
          <w:rFonts w:ascii="Arial" w:eastAsia="MS Mincho" w:hAnsi="Arial" w:cs="Arial" w:hint="cs"/>
          <w:rtl/>
          <w:lang w:bidi="ar-TN"/>
        </w:rPr>
        <w:t>هذه</w:t>
      </w:r>
      <w:r w:rsidRPr="00B469AD">
        <w:rPr>
          <w:rFonts w:ascii="Arial" w:eastAsia="MS Mincho" w:hAnsi="Arial" w:cs="Arial"/>
          <w:rtl/>
          <w:lang w:bidi="ar-TN"/>
        </w:rPr>
        <w:t xml:space="preserve"> </w:t>
      </w:r>
      <w:r w:rsidRPr="00B469AD">
        <w:rPr>
          <w:rFonts w:ascii="Arial" w:eastAsia="MS Mincho" w:hAnsi="Arial" w:cs="Arial" w:hint="cs"/>
          <w:rtl/>
          <w:lang w:bidi="ar-TN"/>
        </w:rPr>
        <w:t>المنحة</w:t>
      </w:r>
      <w:r w:rsidRPr="00B469AD">
        <w:rPr>
          <w:rFonts w:ascii="Arial" w:eastAsia="MS Mincho" w:hAnsi="Arial" w:cs="Arial"/>
          <w:rtl/>
          <w:lang w:bidi="ar-TN"/>
        </w:rPr>
        <w:t xml:space="preserve"> </w:t>
      </w:r>
      <w:r w:rsidRPr="00B469AD">
        <w:rPr>
          <w:rFonts w:ascii="Arial" w:eastAsia="MS Mincho" w:hAnsi="Arial" w:cs="Arial" w:hint="cs"/>
          <w:rtl/>
          <w:lang w:bidi="ar-TN"/>
        </w:rPr>
        <w:t>شهريا</w:t>
      </w:r>
      <w:r w:rsidRPr="00B469AD">
        <w:rPr>
          <w:rFonts w:ascii="Arial" w:eastAsia="MS Mincho" w:hAnsi="Arial" w:cs="Arial"/>
          <w:rtl/>
          <w:lang w:bidi="ar-TN"/>
        </w:rPr>
        <w:t xml:space="preserve"> </w:t>
      </w:r>
      <w:r w:rsidRPr="00B469AD">
        <w:rPr>
          <w:rFonts w:ascii="Arial" w:eastAsia="MS Mincho" w:hAnsi="Arial" w:cs="Arial" w:hint="cs"/>
          <w:rtl/>
          <w:lang w:bidi="ar-TN"/>
        </w:rPr>
        <w:t>وبحلول</w:t>
      </w:r>
      <w:r w:rsidRPr="00B469AD">
        <w:rPr>
          <w:rFonts w:ascii="Arial" w:eastAsia="MS Mincho" w:hAnsi="Arial" w:cs="Arial"/>
          <w:rtl/>
          <w:lang w:bidi="ar-TN"/>
        </w:rPr>
        <w:t xml:space="preserve"> </w:t>
      </w:r>
      <w:r w:rsidRPr="00B469AD">
        <w:rPr>
          <w:rFonts w:ascii="Arial" w:eastAsia="MS Mincho" w:hAnsi="Arial" w:cs="Arial" w:hint="cs"/>
          <w:rtl/>
          <w:lang w:bidi="ar-TN"/>
        </w:rPr>
        <w:t>الأجل</w:t>
      </w:r>
      <w:r w:rsidRPr="00B469AD">
        <w:rPr>
          <w:rFonts w:ascii="Arial" w:eastAsia="MS Mincho" w:hAnsi="Arial" w:cs="Arial"/>
          <w:lang w:bidi="ar-TN"/>
        </w:rPr>
        <w:t>.</w:t>
      </w:r>
    </w:p>
    <w:p w14:paraId="2E35CFB5"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3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يصرف لفائدة التلاميذ المنتدبين من طرف مدارس التكوين أو الجامعات الموافق عليها من طرف وزير الدفاع الوطني أثناء مدة تكوينهم منحة إضافية قصد تغطية شراء الأدوات المدرسية شريطة أن لا تكون هاته المصاريف مسددة مباشرة أما نقدا أو بصلة من طرف الدولة.</w:t>
      </w:r>
    </w:p>
    <w:p w14:paraId="616E29E5" w14:textId="77777777" w:rsidR="00D311C7" w:rsidRPr="00D311C7" w:rsidRDefault="00D311C7" w:rsidP="00B469AD">
      <w:pPr>
        <w:bidi/>
        <w:spacing w:before="120" w:after="0"/>
        <w:ind w:left="283"/>
        <w:jc w:val="both"/>
        <w:rPr>
          <w:rFonts w:ascii="Arial" w:eastAsia="Calibri" w:hAnsi="Arial" w:cs="Arial"/>
          <w:rtl/>
          <w:lang w:eastAsia="en-US" w:bidi="ar-TN"/>
        </w:rPr>
      </w:pPr>
      <w:r w:rsidRPr="00D311C7">
        <w:rPr>
          <w:rFonts w:ascii="Arial" w:eastAsia="Calibri" w:hAnsi="Arial" w:cs="Arial" w:hint="cs"/>
          <w:rtl/>
          <w:lang w:eastAsia="en-US" w:bidi="ar-TN"/>
        </w:rPr>
        <w:t>تضبط مقادير وشروط إسناد هذه المنحة بواسطة قرار من طرف الوزير الأول باقتراح من وزير الدفاع الوطني.</w:t>
      </w:r>
    </w:p>
    <w:p w14:paraId="5A4A198C"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4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يستثنى التلامذة المنتدبون داخليا من التمتع بالمنحة الجملية ويواصلون التمتع براتب وامتيازات رتبهم الأصلية.</w:t>
      </w:r>
    </w:p>
    <w:p w14:paraId="67C2E427"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5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يعاد ترتيب التلامذة المباشرين عند صدور هذا الأمر وفقا لبيانات جدول يضبطه وزير الدفاع الوطني.</w:t>
      </w:r>
    </w:p>
    <w:p w14:paraId="3AB79345"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6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ألغيت جميع الأحكام السابقة المخالفة لهذا الأمر.</w:t>
      </w:r>
    </w:p>
    <w:p w14:paraId="2F999582" w14:textId="77777777" w:rsidR="00D311C7" w:rsidRPr="00D311C7" w:rsidRDefault="00D311C7" w:rsidP="00B469AD">
      <w:pPr>
        <w:bidi/>
        <w:spacing w:before="120" w:after="0"/>
        <w:ind w:left="283"/>
        <w:jc w:val="both"/>
        <w:rPr>
          <w:rFonts w:ascii="Arial" w:eastAsia="Calibri" w:hAnsi="Arial" w:cs="Arial"/>
          <w:b/>
          <w:bCs/>
          <w:rtl/>
          <w:lang w:eastAsia="en-US" w:bidi="ar-TN"/>
        </w:rPr>
      </w:pPr>
      <w:r w:rsidRPr="00D311C7">
        <w:rPr>
          <w:rFonts w:ascii="Arial" w:eastAsia="Calibri" w:hAnsi="Arial" w:cs="Arial" w:hint="cs"/>
          <w:b/>
          <w:bCs/>
          <w:rtl/>
          <w:lang w:eastAsia="en-US" w:bidi="ar-TN"/>
        </w:rPr>
        <w:t xml:space="preserve">الفصل 7 </w:t>
      </w:r>
      <w:r w:rsidRPr="00D311C7">
        <w:rPr>
          <w:rFonts w:ascii="Arial" w:eastAsia="Calibri" w:hAnsi="Arial" w:cs="Arial"/>
          <w:b/>
          <w:bCs/>
          <w:rtl/>
          <w:lang w:eastAsia="en-US" w:bidi="ar-TN"/>
        </w:rPr>
        <w:t>–</w:t>
      </w:r>
      <w:r w:rsidRPr="00D311C7">
        <w:rPr>
          <w:rFonts w:ascii="Arial" w:eastAsia="Calibri" w:hAnsi="Arial" w:cs="Arial" w:hint="cs"/>
          <w:b/>
          <w:bCs/>
          <w:rtl/>
          <w:lang w:eastAsia="en-US" w:bidi="ar-TN"/>
        </w:rPr>
        <w:t xml:space="preserve"> </w:t>
      </w:r>
      <w:r w:rsidRPr="00D311C7">
        <w:rPr>
          <w:rFonts w:ascii="Arial" w:eastAsia="Calibri" w:hAnsi="Arial" w:cs="Arial" w:hint="cs"/>
          <w:rtl/>
          <w:lang w:eastAsia="en-US" w:bidi="ar-TN"/>
        </w:rPr>
        <w:t>وزيرا الدفاع الوطني والمالية مكلفان كل فيما يخصه بتنفيذ هذا الأمر الذي يجري العمل به ابتداء من أول جوان 1975 وينشر بالرائد الرسمي للجمهورية التونسية.</w:t>
      </w:r>
    </w:p>
    <w:p w14:paraId="59A3D800" w14:textId="2FDDDD88" w:rsidR="00214CFF" w:rsidRPr="00D311C7" w:rsidRDefault="00D311C7" w:rsidP="00B469AD">
      <w:pPr>
        <w:bidi/>
        <w:spacing w:before="120" w:after="0"/>
        <w:ind w:left="283"/>
        <w:jc w:val="both"/>
        <w:rPr>
          <w:rFonts w:ascii="Arial" w:eastAsia="Calibri" w:hAnsi="Arial" w:cs="Arial"/>
          <w:b/>
          <w:bCs/>
          <w:lang w:eastAsia="en-US" w:bidi="ar-TN"/>
        </w:rPr>
      </w:pPr>
      <w:r w:rsidRPr="00D311C7">
        <w:rPr>
          <w:rFonts w:ascii="Arial" w:eastAsia="Calibri" w:hAnsi="Arial" w:cs="Arial" w:hint="cs"/>
          <w:b/>
          <w:bCs/>
          <w:rtl/>
          <w:lang w:eastAsia="en-US" w:bidi="ar-TN"/>
        </w:rPr>
        <w:t>وصدر بقصر قرطاج في 1 سبتمبر 1975.</w:t>
      </w:r>
    </w:p>
    <w:sectPr w:rsidR="00214CFF" w:rsidRPr="00D311C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311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311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311C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469AD"/>
    <w:rsid w:val="00B617F1"/>
    <w:rsid w:val="00C1635D"/>
    <w:rsid w:val="00C64B86"/>
    <w:rsid w:val="00C9512C"/>
    <w:rsid w:val="00CC4ADF"/>
    <w:rsid w:val="00D07749"/>
    <w:rsid w:val="00D17590"/>
    <w:rsid w:val="00D27C26"/>
    <w:rsid w:val="00D311C7"/>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BE39B70E-6451-4B1D-B0B1-3CB59C5B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table" w:customStyle="1" w:styleId="Grilledutableau21">
    <w:name w:val="Grille du tableau21"/>
    <w:basedOn w:val="TableauNormal"/>
    <w:next w:val="Grilledutableau"/>
    <w:uiPriority w:val="59"/>
    <w:rsid w:val="00D311C7"/>
    <w:rPr>
      <w:rFonts w:eastAsia="Calibri"/>
      <w:sz w:val="22"/>
      <w:szCs w:val="22"/>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B469AD"/>
    <w:rPr>
      <w:rFonts w:ascii="Cambria" w:eastAsia="Calibri" w:hAnsi="Cambria" w:cs="Arial"/>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Wided Boujeh</cp:lastModifiedBy>
  <cp:revision>2</cp:revision>
  <cp:lastPrinted>2012-07-16T08:37:00Z</cp:lastPrinted>
  <dcterms:created xsi:type="dcterms:W3CDTF">2018-07-26T09:45:00Z</dcterms:created>
  <dcterms:modified xsi:type="dcterms:W3CDTF">2018-07-26T09:45:00Z</dcterms:modified>
</cp:coreProperties>
</file>