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71D6" w14:textId="77777777" w:rsidR="00EF176A" w:rsidRPr="008D53DB" w:rsidRDefault="00EF176A" w:rsidP="002A4E6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6757ECC1" w14:textId="77777777" w:rsidR="00402EE9" w:rsidRDefault="00EF176A" w:rsidP="00402EE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أمر </w:t>
      </w:r>
      <w:r w:rsidR="000B0780" w:rsidRPr="008D53DB">
        <w:rPr>
          <w:rFonts w:ascii="Arial" w:hAnsi="Arial" w:cs="Arial"/>
          <w:b/>
          <w:bCs/>
          <w:sz w:val="24"/>
          <w:szCs w:val="24"/>
          <w:rtl/>
          <w:lang w:bidi="ar-TN"/>
        </w:rPr>
        <w:t>عدد 436 لسنة 1973</w:t>
      </w:r>
      <w:r w:rsidRPr="008D53D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مؤرخ في 21 سبتمبر 1973 يتعلق بضبط الوظائف التي يمارسها القضاة من الصنف العدلي</w:t>
      </w:r>
    </w:p>
    <w:p w14:paraId="7902487B" w14:textId="77777777" w:rsidR="00402EE9" w:rsidRDefault="00EF176A" w:rsidP="00402EE9">
      <w:pPr>
        <w:bidi/>
        <w:spacing w:before="36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rtl/>
          <w:lang w:bidi="ar-TN"/>
        </w:rPr>
        <w:t xml:space="preserve">نحن، الحبيب </w:t>
      </w:r>
      <w:r w:rsidR="00652628" w:rsidRPr="008D53DB">
        <w:rPr>
          <w:rFonts w:ascii="Arial" w:hAnsi="Arial" w:cs="Arial" w:hint="cs"/>
          <w:rtl/>
          <w:lang w:bidi="ar-TN"/>
        </w:rPr>
        <w:t>بورقيبة،</w:t>
      </w:r>
      <w:r w:rsidRPr="008D53DB">
        <w:rPr>
          <w:rFonts w:ascii="Arial" w:hAnsi="Arial" w:cs="Arial"/>
          <w:rtl/>
          <w:lang w:bidi="ar-TN"/>
        </w:rPr>
        <w:t xml:space="preserve"> رئيس الجمهورية التونسية، </w:t>
      </w:r>
    </w:p>
    <w:p w14:paraId="789509FE" w14:textId="77777777" w:rsidR="00402EE9" w:rsidRDefault="00EF176A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rtl/>
          <w:lang w:bidi="ar-TN"/>
        </w:rPr>
        <w:t xml:space="preserve">بعد </w:t>
      </w:r>
      <w:r w:rsidR="00652628" w:rsidRPr="008D53DB">
        <w:rPr>
          <w:rFonts w:ascii="Arial" w:hAnsi="Arial" w:cs="Arial" w:hint="cs"/>
          <w:rtl/>
          <w:lang w:bidi="ar-TN"/>
        </w:rPr>
        <w:t>اطلاعنا</w:t>
      </w:r>
      <w:r w:rsidRPr="008D53DB">
        <w:rPr>
          <w:rFonts w:ascii="Arial" w:hAnsi="Arial" w:cs="Arial"/>
          <w:rtl/>
          <w:lang w:bidi="ar-TN"/>
        </w:rPr>
        <w:t xml:space="preserve"> على القانون عدد 29 لسنة 1967 المؤرخ في </w:t>
      </w:r>
      <w:r w:rsidR="00652628">
        <w:rPr>
          <w:rFonts w:ascii="Arial" w:hAnsi="Arial" w:cs="Arial"/>
          <w:rtl/>
          <w:lang w:bidi="ar-TN"/>
        </w:rPr>
        <w:t>14 جويلية 1967 المتعلق بنظام ال</w:t>
      </w:r>
      <w:r w:rsidR="00652628">
        <w:rPr>
          <w:rFonts w:ascii="Arial" w:hAnsi="Arial" w:cs="Arial" w:hint="cs"/>
          <w:rtl/>
          <w:lang w:bidi="ar-TN"/>
        </w:rPr>
        <w:t>ق</w:t>
      </w:r>
      <w:r w:rsidRPr="008D53DB">
        <w:rPr>
          <w:rFonts w:ascii="Arial" w:hAnsi="Arial" w:cs="Arial"/>
          <w:rtl/>
          <w:lang w:bidi="ar-TN"/>
        </w:rPr>
        <w:t xml:space="preserve">ضاء والمجلس الأعلى للقضاء والقانون الأساسي للقضاة وعلى جميع النصوص التي نقحته أو تممته، </w:t>
      </w:r>
    </w:p>
    <w:p w14:paraId="5B78DCAA" w14:textId="77777777" w:rsidR="00402EE9" w:rsidRDefault="00EF176A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rtl/>
          <w:lang w:bidi="ar-TN"/>
        </w:rPr>
        <w:t>وعلى الأمر عدد 166 لسنة 1971 المؤرخ في 3 ماي 1971 المتعلق بضبط الوظائف التي يمارسها من السلك العدلي وعلى جميع النصوص التي نقحته أ</w:t>
      </w:r>
      <w:r w:rsidR="005C50CD" w:rsidRPr="008D53DB">
        <w:rPr>
          <w:rFonts w:ascii="Arial" w:hAnsi="Arial" w:cs="Arial"/>
          <w:rtl/>
          <w:lang w:bidi="ar-TN"/>
        </w:rPr>
        <w:t>و تممته وخاصة الأمر عدد 267 لسنة</w:t>
      </w:r>
      <w:r w:rsidRPr="008D53DB">
        <w:rPr>
          <w:rFonts w:ascii="Arial" w:hAnsi="Arial" w:cs="Arial"/>
          <w:rtl/>
          <w:lang w:bidi="ar-TN"/>
        </w:rPr>
        <w:t xml:space="preserve"> 1972 المؤرخ في 27 نوفمبر 1972 المتعلق بالمنح المخولة </w:t>
      </w:r>
      <w:r w:rsidR="008D53DB" w:rsidRPr="008D53DB">
        <w:rPr>
          <w:rFonts w:ascii="Arial" w:hAnsi="Arial" w:cs="Arial"/>
          <w:rtl/>
          <w:lang w:bidi="ar-TN"/>
        </w:rPr>
        <w:t>لبعض أصناف من أعوان وزارة العدل،</w:t>
      </w:r>
    </w:p>
    <w:p w14:paraId="1D06E561" w14:textId="77777777" w:rsidR="00402EE9" w:rsidRDefault="005C50CD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rtl/>
          <w:lang w:bidi="ar-TN"/>
        </w:rPr>
        <w:t xml:space="preserve">وعلى الأمر عدد 369 لسنة 1972 المؤرخ في 27 نوفمبر 1972 المتعلق بالمنح المخولة لبعض أصناف </w:t>
      </w:r>
      <w:r w:rsidR="008D53DB" w:rsidRPr="008D53DB">
        <w:rPr>
          <w:rFonts w:ascii="Arial" w:hAnsi="Arial" w:cs="Arial"/>
          <w:rtl/>
          <w:lang w:bidi="ar-TN"/>
        </w:rPr>
        <w:t>من أعوان وزارة العدل،</w:t>
      </w:r>
    </w:p>
    <w:p w14:paraId="7790971B" w14:textId="77777777" w:rsidR="00402EE9" w:rsidRDefault="00EF176A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rtl/>
          <w:lang w:bidi="ar-TN"/>
        </w:rPr>
        <w:t>وعلى ر</w:t>
      </w:r>
      <w:r w:rsidR="00402EE9">
        <w:rPr>
          <w:rFonts w:ascii="Arial" w:hAnsi="Arial" w:cs="Arial" w:hint="cs"/>
          <w:rtl/>
          <w:lang w:bidi="ar-TN"/>
        </w:rPr>
        <w:t>أ</w:t>
      </w:r>
      <w:r w:rsidRPr="008D53DB">
        <w:rPr>
          <w:rFonts w:ascii="Arial" w:hAnsi="Arial" w:cs="Arial"/>
          <w:rtl/>
          <w:lang w:bidi="ar-TN"/>
        </w:rPr>
        <w:t xml:space="preserve">ي وزيري العدل والمالية: </w:t>
      </w:r>
    </w:p>
    <w:p w14:paraId="60E0038C" w14:textId="77777777" w:rsidR="00402EE9" w:rsidRDefault="00EF176A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rtl/>
          <w:lang w:bidi="ar-TN"/>
        </w:rPr>
        <w:t xml:space="preserve">أصدرنا أمرنا هذا بما يلي: </w:t>
      </w:r>
    </w:p>
    <w:p w14:paraId="69D2C39A" w14:textId="3E1FB142" w:rsidR="00EF176A" w:rsidRPr="00402EE9" w:rsidRDefault="00EF176A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53DB">
        <w:rPr>
          <w:rFonts w:ascii="Arial" w:hAnsi="Arial" w:cs="Arial"/>
          <w:b/>
          <w:bCs/>
          <w:rtl/>
          <w:lang w:bidi="ar-TN"/>
        </w:rPr>
        <w:t>الفصل الأول –</w:t>
      </w:r>
      <w:r w:rsidR="002A4E6D" w:rsidRPr="008D53DB">
        <w:rPr>
          <w:rFonts w:ascii="Arial" w:hAnsi="Arial" w:cs="Arial"/>
          <w:b/>
          <w:bCs/>
          <w:rtl/>
          <w:lang w:bidi="ar-TN"/>
        </w:rPr>
        <w:t xml:space="preserve"> </w:t>
      </w:r>
      <w:r w:rsidRPr="008D53DB">
        <w:rPr>
          <w:rFonts w:ascii="Arial" w:hAnsi="Arial" w:cs="Arial"/>
          <w:rtl/>
        </w:rPr>
        <w:t>الوظائف التي يمارسها القضاة من السلك العدلي هي الآتية</w:t>
      </w:r>
      <w:r w:rsidRPr="008D53DB">
        <w:rPr>
          <w:rFonts w:ascii="Arial" w:hAnsi="Arial" w:cs="Arial"/>
        </w:rPr>
        <w:t xml:space="preserve">: </w:t>
      </w:r>
    </w:p>
    <w:p w14:paraId="55A6C89B" w14:textId="77777777" w:rsidR="00B11913" w:rsidRPr="008D53DB" w:rsidRDefault="00B11913" w:rsidP="008D53D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أ – 1 </w:t>
      </w:r>
      <w:r w:rsidRPr="008D53DB">
        <w:rPr>
          <w:rStyle w:val="Appelnotedebasdep"/>
          <w:rFonts w:ascii="Arial" w:hAnsi="Arial" w:cs="Arial"/>
          <w:rtl/>
        </w:rPr>
        <w:footnoteReference w:id="1"/>
      </w:r>
    </w:p>
    <w:p w14:paraId="7A6ABE18" w14:textId="77777777" w:rsidR="00B11913" w:rsidRPr="008D53DB" w:rsidRDefault="00EF176A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رئيس أوّل لمحكمة </w:t>
      </w:r>
      <w:r w:rsidR="00652628" w:rsidRPr="008D53DB">
        <w:rPr>
          <w:rFonts w:ascii="Arial" w:hAnsi="Arial" w:cs="Arial" w:hint="cs"/>
          <w:rtl/>
        </w:rPr>
        <w:t>التعقيب،</w:t>
      </w:r>
    </w:p>
    <w:p w14:paraId="6C0B8C1D" w14:textId="77777777" w:rsidR="00B11913" w:rsidRPr="008D53DB" w:rsidRDefault="00EF176A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وكيل </w:t>
      </w:r>
      <w:r w:rsidR="00FA10A6" w:rsidRPr="008D53DB">
        <w:rPr>
          <w:rFonts w:ascii="Arial" w:hAnsi="Arial" w:cs="Arial"/>
          <w:rtl/>
        </w:rPr>
        <w:t>دولة عام</w:t>
      </w:r>
      <w:r w:rsidRPr="008D53DB">
        <w:rPr>
          <w:rFonts w:ascii="Arial" w:hAnsi="Arial" w:cs="Arial"/>
          <w:rtl/>
        </w:rPr>
        <w:t xml:space="preserve"> لدى محكمة </w:t>
      </w:r>
      <w:r w:rsidR="00652628" w:rsidRPr="008D53DB">
        <w:rPr>
          <w:rFonts w:ascii="Arial" w:hAnsi="Arial" w:cs="Arial" w:hint="cs"/>
          <w:rtl/>
        </w:rPr>
        <w:t>التعقيب،</w:t>
      </w:r>
    </w:p>
    <w:p w14:paraId="120B15DF" w14:textId="7001F8B0" w:rsidR="00B11913" w:rsidRPr="008D53DB" w:rsidRDefault="00935F43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>
        <w:rPr>
          <w:rStyle w:val="Appelnotedebasdep"/>
          <w:rFonts w:ascii="Arial" w:hAnsi="Arial" w:cs="Arial"/>
          <w:rtl/>
        </w:rPr>
        <w:footnoteReference w:id="2"/>
      </w:r>
    </w:p>
    <w:p w14:paraId="4E52BDB0" w14:textId="77777777" w:rsidR="00FA10A6" w:rsidRPr="008D53DB" w:rsidRDefault="00EF176A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وكيل دولة عام مدير المصالح العدلية</w:t>
      </w:r>
      <w:r w:rsidR="00FA10A6" w:rsidRPr="008D53DB">
        <w:rPr>
          <w:rFonts w:ascii="Arial" w:hAnsi="Arial" w:cs="Arial"/>
          <w:rtl/>
        </w:rPr>
        <w:t>،</w:t>
      </w:r>
    </w:p>
    <w:p w14:paraId="5743F32F" w14:textId="77777777" w:rsidR="00FA10A6" w:rsidRPr="008D53DB" w:rsidRDefault="00EF176A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</w:rPr>
        <w:t xml:space="preserve"> </w:t>
      </w:r>
      <w:r w:rsidRPr="008D53DB">
        <w:rPr>
          <w:rFonts w:ascii="Arial" w:hAnsi="Arial" w:cs="Arial"/>
          <w:rtl/>
        </w:rPr>
        <w:t>متفقد عام بوزارة العدل</w:t>
      </w:r>
      <w:r w:rsidR="00FA10A6" w:rsidRPr="008D53DB">
        <w:rPr>
          <w:rFonts w:ascii="Arial" w:hAnsi="Arial" w:cs="Arial"/>
          <w:rtl/>
        </w:rPr>
        <w:t>،</w:t>
      </w:r>
    </w:p>
    <w:p w14:paraId="64D541A4" w14:textId="77777777" w:rsidR="00FA10A6" w:rsidRPr="008D53DB" w:rsidRDefault="00EF176A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رئيس المحكمة </w:t>
      </w:r>
      <w:r w:rsidR="00652628" w:rsidRPr="008D53DB">
        <w:rPr>
          <w:rFonts w:ascii="Arial" w:hAnsi="Arial" w:cs="Arial" w:hint="cs"/>
          <w:rtl/>
        </w:rPr>
        <w:t>العقارية،</w:t>
      </w:r>
    </w:p>
    <w:p w14:paraId="64441C2C" w14:textId="77777777" w:rsidR="00FA10A6" w:rsidRPr="008D53DB" w:rsidRDefault="00EF176A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رئيس أوّل لمحكمة الاستئناف </w:t>
      </w:r>
      <w:r w:rsidR="00652628" w:rsidRPr="008D53DB">
        <w:rPr>
          <w:rFonts w:ascii="Arial" w:hAnsi="Arial" w:cs="Arial" w:hint="cs"/>
          <w:rtl/>
        </w:rPr>
        <w:t>بتونس،</w:t>
      </w:r>
    </w:p>
    <w:p w14:paraId="23F9BDE5" w14:textId="77777777" w:rsidR="00FA10A6" w:rsidRPr="008D53DB" w:rsidRDefault="00EF176A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وكيل عام لدى محكمة الاستئناف بتونس</w:t>
      </w:r>
      <w:r w:rsidR="00FA10A6" w:rsidRPr="008D53DB">
        <w:rPr>
          <w:rFonts w:ascii="Arial" w:hAnsi="Arial" w:cs="Arial"/>
          <w:rtl/>
        </w:rPr>
        <w:t>.</w:t>
      </w:r>
    </w:p>
    <w:p w14:paraId="3EF6C1F9" w14:textId="77777777" w:rsidR="00FA10A6" w:rsidRPr="008D53DB" w:rsidRDefault="00FA10A6" w:rsidP="008D53DB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أ - 2</w:t>
      </w:r>
      <w:r w:rsidRPr="008D53DB">
        <w:rPr>
          <w:rStyle w:val="Appelnotedebasdep"/>
          <w:rFonts w:ascii="Arial" w:hAnsi="Arial" w:cs="Arial"/>
          <w:rtl/>
        </w:rPr>
        <w:footnoteReference w:id="3"/>
      </w:r>
      <w:r w:rsidRPr="008D53DB">
        <w:rPr>
          <w:rFonts w:ascii="Arial" w:hAnsi="Arial" w:cs="Arial"/>
          <w:rtl/>
        </w:rPr>
        <w:t xml:space="preserve"> </w:t>
      </w:r>
    </w:p>
    <w:p w14:paraId="1B7C47C0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وكيل الرئيس الأول لمحكمة التعقيب،</w:t>
      </w:r>
    </w:p>
    <w:p w14:paraId="09D93F82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مدع عام مساعد وكيل الدولة العام لدى محكمة التعقيب،</w:t>
      </w:r>
    </w:p>
    <w:p w14:paraId="6E661EE3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رئيس دائرة بمحكمة التعقيب،</w:t>
      </w:r>
    </w:p>
    <w:p w14:paraId="5EBBE14D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رئيس أوّل لمحكمة </w:t>
      </w:r>
      <w:r w:rsidR="00652628" w:rsidRPr="008D53DB">
        <w:rPr>
          <w:rFonts w:ascii="Arial" w:hAnsi="Arial" w:cs="Arial" w:hint="cs"/>
          <w:rtl/>
        </w:rPr>
        <w:t>الاستئناف</w:t>
      </w:r>
      <w:r w:rsidRPr="008D53DB">
        <w:rPr>
          <w:rFonts w:ascii="Arial" w:hAnsi="Arial" w:cs="Arial"/>
          <w:rtl/>
        </w:rPr>
        <w:t xml:space="preserve"> بغير تونس،</w:t>
      </w:r>
    </w:p>
    <w:p w14:paraId="68BF241B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وكيل عام لدى محكمة </w:t>
      </w:r>
      <w:r w:rsidR="00652628" w:rsidRPr="008D53DB">
        <w:rPr>
          <w:rFonts w:ascii="Arial" w:hAnsi="Arial" w:cs="Arial" w:hint="cs"/>
          <w:rtl/>
        </w:rPr>
        <w:t>الاستئناف</w:t>
      </w:r>
      <w:r w:rsidRPr="008D53DB">
        <w:rPr>
          <w:rFonts w:ascii="Arial" w:hAnsi="Arial" w:cs="Arial"/>
          <w:rtl/>
        </w:rPr>
        <w:t xml:space="preserve"> بغير تونس، </w:t>
      </w:r>
    </w:p>
    <w:p w14:paraId="07D9178C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مدع عام مساعد وكيل الدولة العام مدير المصالح العدلية،</w:t>
      </w:r>
    </w:p>
    <w:p w14:paraId="2E691360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متفقد عام مساعد بوزارة العدل،</w:t>
      </w:r>
    </w:p>
    <w:p w14:paraId="4389D980" w14:textId="77777777" w:rsidR="007C2995" w:rsidRDefault="00FA10A6" w:rsidP="007C2995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مدع عام مستشار لدى وزير العدل</w:t>
      </w:r>
      <w:r w:rsidR="007C2995">
        <w:rPr>
          <w:rFonts w:ascii="Arial" w:hAnsi="Arial" w:cs="Arial" w:hint="cs"/>
          <w:rtl/>
        </w:rPr>
        <w:t>،</w:t>
      </w:r>
    </w:p>
    <w:p w14:paraId="4A4DC5A5" w14:textId="1CA08C0C" w:rsidR="007C2995" w:rsidRPr="007C2995" w:rsidRDefault="007C2995" w:rsidP="007C2995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2995">
        <w:rPr>
          <w:rFonts w:ascii="Arial" w:hAnsi="Arial" w:cs="Arial"/>
          <w:color w:val="000000"/>
          <w:shd w:val="clear" w:color="auto" w:fill="FFFFFF"/>
          <w:rtl/>
        </w:rPr>
        <w:t>رئيس محكمة ابتدائية منتصبة بمقر محكمة الاستئناف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4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7CF4526A" w14:textId="4D080C01" w:rsidR="007C2995" w:rsidRPr="007C2995" w:rsidRDefault="007C2995" w:rsidP="007C2995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2995">
        <w:rPr>
          <w:rFonts w:ascii="Arial" w:hAnsi="Arial" w:cs="Arial"/>
          <w:color w:val="000000"/>
          <w:shd w:val="clear" w:color="auto" w:fill="FFFFFF"/>
          <w:rtl/>
        </w:rPr>
        <w:t>وكيل جمهورية لدى محكمة ابتدائية منتصبة بمقر محكمة الاستئنا</w:t>
      </w:r>
      <w:r>
        <w:rPr>
          <w:rFonts w:ascii="Arial" w:hAnsi="Arial" w:cs="Arial" w:hint="cs"/>
          <w:color w:val="000000"/>
          <w:shd w:val="clear" w:color="auto" w:fill="FFFFFF"/>
          <w:rtl/>
        </w:rPr>
        <w:t>ف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5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5BBC1D8A" w14:textId="2F701A57" w:rsidR="007C2995" w:rsidRPr="007C2995" w:rsidRDefault="007C2995" w:rsidP="007C2995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2995">
        <w:rPr>
          <w:rFonts w:ascii="Arial" w:hAnsi="Arial" w:cs="Arial"/>
          <w:color w:val="000000"/>
          <w:shd w:val="clear" w:color="auto" w:fill="FFFFFF"/>
          <w:rtl/>
        </w:rPr>
        <w:t>عميد قضاة التحقيق لدى المحكمة الابتدائية بتو</w:t>
      </w:r>
      <w:r>
        <w:rPr>
          <w:rFonts w:ascii="Arial" w:hAnsi="Arial" w:cs="Arial" w:hint="cs"/>
          <w:color w:val="000000"/>
          <w:shd w:val="clear" w:color="auto" w:fill="FFFFFF"/>
          <w:rtl/>
        </w:rPr>
        <w:t>نس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6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0B6FC717" w14:textId="77777777" w:rsidR="00FA10A6" w:rsidRPr="007C2995" w:rsidRDefault="00FA10A6" w:rsidP="007C2995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2995">
        <w:rPr>
          <w:rFonts w:ascii="Arial" w:hAnsi="Arial" w:cs="Arial"/>
          <w:rtl/>
        </w:rPr>
        <w:t xml:space="preserve">وكيل الرئيس الأول لمحكمة الاستئناف بتونس، </w:t>
      </w:r>
    </w:p>
    <w:p w14:paraId="5A356657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مساعد أول للوكيل العام لدى محكمة الاستئناف بتونس، </w:t>
      </w:r>
    </w:p>
    <w:p w14:paraId="4DA3FF28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وكيل أوّل لرئيس المحكمة العقارية، </w:t>
      </w:r>
    </w:p>
    <w:p w14:paraId="27807C6C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المدير العام للمعهد الأعلى للقضاء،</w:t>
      </w:r>
    </w:p>
    <w:p w14:paraId="0731FB60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lastRenderedPageBreak/>
        <w:t>المدير العام لمركز الدراسات القانونية والقضائية،</w:t>
      </w:r>
    </w:p>
    <w:p w14:paraId="238557EF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رئيس دائرة جنائيّة بمحكمة </w:t>
      </w:r>
      <w:r w:rsidR="00652628" w:rsidRPr="008D53DB">
        <w:rPr>
          <w:rFonts w:ascii="Arial" w:hAnsi="Arial" w:cs="Arial" w:hint="cs"/>
          <w:rtl/>
        </w:rPr>
        <w:t>استئناف</w:t>
      </w:r>
      <w:r w:rsidRPr="008D53DB">
        <w:rPr>
          <w:rFonts w:ascii="Arial" w:hAnsi="Arial" w:cs="Arial"/>
          <w:rtl/>
        </w:rPr>
        <w:t>،</w:t>
      </w:r>
    </w:p>
    <w:p w14:paraId="4D8B3F4B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مدع عام للشؤون الجزائية</w:t>
      </w:r>
      <w:r w:rsidRPr="008D53DB">
        <w:rPr>
          <w:rStyle w:val="Appelnotedebasdep"/>
          <w:rFonts w:ascii="Arial" w:hAnsi="Arial" w:cs="Arial"/>
          <w:rtl/>
        </w:rPr>
        <w:footnoteReference w:id="7"/>
      </w:r>
      <w:r w:rsidRPr="008D53DB">
        <w:rPr>
          <w:rFonts w:ascii="Arial" w:hAnsi="Arial" w:cs="Arial"/>
          <w:rtl/>
        </w:rPr>
        <w:t>،</w:t>
      </w:r>
    </w:p>
    <w:p w14:paraId="7208076B" w14:textId="77777777" w:rsidR="00FA10A6" w:rsidRPr="008D53DB" w:rsidRDefault="00FA10A6" w:rsidP="008D53DB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مدع عام للشؤون المدنية</w:t>
      </w:r>
      <w:r w:rsidR="00F01DDB" w:rsidRPr="008D53DB">
        <w:rPr>
          <w:rStyle w:val="Appelnotedebasdep"/>
          <w:rFonts w:ascii="Arial" w:hAnsi="Arial" w:cs="Arial"/>
          <w:rtl/>
        </w:rPr>
        <w:footnoteReference w:id="8"/>
      </w:r>
      <w:r w:rsidRPr="008D53DB">
        <w:rPr>
          <w:rFonts w:ascii="Arial" w:hAnsi="Arial" w:cs="Arial"/>
          <w:rtl/>
        </w:rPr>
        <w:t>،</w:t>
      </w:r>
    </w:p>
    <w:p w14:paraId="78D2AEBD" w14:textId="77777777" w:rsidR="007C2995" w:rsidRDefault="00FA10A6" w:rsidP="007C2995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رئيس دائرة جنائية بمحكمة استئناف</w:t>
      </w:r>
      <w:r w:rsidR="0017608D" w:rsidRPr="008D53DB">
        <w:rPr>
          <w:rStyle w:val="Appelnotedebasdep"/>
          <w:rFonts w:ascii="Arial" w:hAnsi="Arial" w:cs="Arial"/>
          <w:rtl/>
        </w:rPr>
        <w:footnoteReference w:id="9"/>
      </w:r>
      <w:r w:rsidR="007C2995">
        <w:rPr>
          <w:rFonts w:ascii="Arial" w:hAnsi="Arial" w:cs="Arial" w:hint="cs"/>
          <w:rtl/>
        </w:rPr>
        <w:t>،</w:t>
      </w:r>
    </w:p>
    <w:p w14:paraId="74CFD8FD" w14:textId="458679F4" w:rsidR="007C2995" w:rsidRPr="007C2995" w:rsidRDefault="007C2995" w:rsidP="007C2995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2995">
        <w:rPr>
          <w:rFonts w:ascii="Arial" w:hAnsi="Arial" w:cs="Arial"/>
          <w:color w:val="000000"/>
          <w:shd w:val="clear" w:color="auto" w:fill="FFFFFF"/>
          <w:rtl/>
        </w:rPr>
        <w:t>رئيس دائرة الاتهام بمحكمة الاستئناف بتونس</w:t>
      </w:r>
      <w:r w:rsidRPr="007C2995"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elnotedebasdep"/>
          <w:rFonts w:ascii="Arial" w:hAnsi="Arial" w:cs="Arial"/>
          <w:color w:val="000000"/>
          <w:shd w:val="clear" w:color="auto" w:fill="FFFFFF"/>
        </w:rPr>
        <w:footnoteReference w:id="10"/>
      </w:r>
    </w:p>
    <w:p w14:paraId="7319C6AF" w14:textId="77777777" w:rsidR="0017608D" w:rsidRPr="008D53DB" w:rsidRDefault="0017608D" w:rsidP="008D53D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أ – 3</w:t>
      </w:r>
      <w:r w:rsidRPr="008D53DB">
        <w:rPr>
          <w:rStyle w:val="Appelnotedebasdep"/>
          <w:rFonts w:ascii="Arial" w:hAnsi="Arial" w:cs="Arial"/>
          <w:rtl/>
        </w:rPr>
        <w:footnoteReference w:id="11"/>
      </w:r>
      <w:r w:rsidRPr="008D53DB">
        <w:rPr>
          <w:rFonts w:ascii="Arial" w:hAnsi="Arial" w:cs="Arial"/>
          <w:rtl/>
        </w:rPr>
        <w:t xml:space="preserve"> </w:t>
      </w:r>
    </w:p>
    <w:p w14:paraId="375C64CA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رئيس دائرة بمحكمة استئناف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6E936D73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رئيس محكمة ابتدائية منتصبة بغير مقر محكمة الاستئناف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28DACD57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وكيل جمهورية لدى محكمة ابتدائية منتصبة بغير مقرّ محكمة الاستئناف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6D04401F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30F75">
        <w:rPr>
          <w:rFonts w:ascii="Arial" w:hAnsi="Arial" w:cs="Arial"/>
          <w:color w:val="000000"/>
          <w:shd w:val="clear" w:color="auto" w:fill="FFFFFF"/>
          <w:rtl/>
        </w:rPr>
        <w:t>مدع عام بإدارة المصالح العدلية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571CC3F8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متفقد بوزارة العدل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0596F1B7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وكيل الرئيس الأوّل لمحكمة الاستئناف بغير تونس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0AC3AD2F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مساعد أوّل للوكيل العام لدى محكمة الاستئناف بغير تونس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0FD7A44B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وكيل أوّل لرئيس المحكمة الابتدائية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5EC677E8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نائب وكيل الجمهورية لدى المحكمة الابتدائية بتونس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7EF2F4FD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30F75">
        <w:rPr>
          <w:rFonts w:ascii="Arial" w:hAnsi="Arial" w:cs="Arial"/>
          <w:color w:val="000000"/>
          <w:shd w:val="clear" w:color="auto" w:fill="FFFFFF"/>
          <w:rtl/>
        </w:rPr>
        <w:t>قاضي تحقيق أوّل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49AD9BD3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30F75">
        <w:rPr>
          <w:rFonts w:ascii="Arial" w:hAnsi="Arial" w:cs="Arial"/>
          <w:color w:val="000000"/>
          <w:shd w:val="clear" w:color="auto" w:fill="FFFFFF"/>
          <w:rtl/>
        </w:rPr>
        <w:t>رئيس محكمة ناحية بتونس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243FC8B1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مدير التكوين المستمر بالمعهد الأعلى للقضاء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3E02FC60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مدير الدراسات بالمعهد الأعلى للقضاء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1398D30F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رئيس فرع محكمة عقارية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68E5944E" w14:textId="77777777" w:rsidR="007C2995" w:rsidRPr="00B30F7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رئيس دائرة جنائية بمحكمة ابتدائية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048353EC" w14:textId="7DE5295E" w:rsidR="0017608D" w:rsidRPr="007C2995" w:rsidRDefault="007C2995" w:rsidP="007C2995">
      <w:pPr>
        <w:pStyle w:val="Paragraphedeliste"/>
        <w:numPr>
          <w:ilvl w:val="0"/>
          <w:numId w:val="49"/>
        </w:numPr>
        <w:bidi/>
        <w:spacing w:before="120"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30F75">
        <w:rPr>
          <w:rFonts w:ascii="Arial" w:hAnsi="Arial" w:cs="Arial"/>
          <w:color w:val="000000"/>
          <w:shd w:val="clear" w:color="auto" w:fill="FFFFFF"/>
          <w:rtl/>
        </w:rPr>
        <w:t>رئيس خلية بمركز الدراسات القانونية والقضائية</w:t>
      </w:r>
      <w:r w:rsidRPr="00B30F75">
        <w:rPr>
          <w:rFonts w:ascii="Arial" w:hAnsi="Arial" w:cs="Arial"/>
          <w:color w:val="000000"/>
          <w:shd w:val="clear" w:color="auto" w:fill="FFFFFF"/>
        </w:rPr>
        <w:t>.</w:t>
      </w:r>
    </w:p>
    <w:p w14:paraId="3D3735E3" w14:textId="77777777" w:rsidR="0017608D" w:rsidRPr="008D53DB" w:rsidRDefault="008D53DB" w:rsidP="008D53D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 </w:t>
      </w:r>
      <w:r w:rsidR="0017608D" w:rsidRPr="008D53DB">
        <w:rPr>
          <w:rFonts w:ascii="Arial" w:hAnsi="Arial" w:cs="Arial"/>
          <w:rtl/>
        </w:rPr>
        <w:t xml:space="preserve">(ب) </w:t>
      </w:r>
      <w:r w:rsidR="00AC64BD" w:rsidRPr="008D53DB">
        <w:rPr>
          <w:rStyle w:val="Appelnotedebasdep"/>
          <w:rFonts w:ascii="Arial" w:hAnsi="Arial" w:cs="Arial"/>
          <w:rtl/>
        </w:rPr>
        <w:footnoteReference w:id="12"/>
      </w:r>
    </w:p>
    <w:p w14:paraId="0A1B254D" w14:textId="77777777" w:rsidR="0017608D" w:rsidRPr="008D53DB" w:rsidRDefault="0017608D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وكيل رئيس محكمة </w:t>
      </w:r>
      <w:r w:rsidR="00652628" w:rsidRPr="008D53DB">
        <w:rPr>
          <w:rFonts w:ascii="Arial" w:hAnsi="Arial" w:cs="Arial" w:hint="cs"/>
          <w:rtl/>
        </w:rPr>
        <w:t>ابتدائية</w:t>
      </w:r>
      <w:r w:rsidR="00AC64BD" w:rsidRPr="008D53DB">
        <w:rPr>
          <w:rFonts w:ascii="Arial" w:hAnsi="Arial" w:cs="Arial"/>
          <w:rtl/>
        </w:rPr>
        <w:t>،</w:t>
      </w:r>
    </w:p>
    <w:p w14:paraId="4E72BAA9" w14:textId="4E583B4F" w:rsidR="0017608D" w:rsidRDefault="0017608D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 xml:space="preserve">قاضي </w:t>
      </w:r>
      <w:r w:rsidR="00652628" w:rsidRPr="008D53DB">
        <w:rPr>
          <w:rFonts w:ascii="Arial" w:hAnsi="Arial" w:cs="Arial" w:hint="cs"/>
          <w:rtl/>
        </w:rPr>
        <w:t>التقادم</w:t>
      </w:r>
      <w:r w:rsidR="00AC64BD" w:rsidRPr="008D53DB">
        <w:rPr>
          <w:rFonts w:ascii="Arial" w:hAnsi="Arial" w:cs="Arial"/>
          <w:rtl/>
        </w:rPr>
        <w:t>،</w:t>
      </w:r>
    </w:p>
    <w:p w14:paraId="29E83665" w14:textId="0AE5070B" w:rsidR="00402EE9" w:rsidRPr="008D53DB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02EE9">
        <w:rPr>
          <w:rFonts w:ascii="Arial" w:hAnsi="Arial" w:cs="Arial" w:hint="cs"/>
          <w:rtl/>
        </w:rPr>
        <w:t>مساعد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أول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لوكيل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الجمهورية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لدى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محكمة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ابتدائية</w:t>
      </w:r>
      <w:r>
        <w:rPr>
          <w:rFonts w:ascii="Arial" w:hAnsi="Arial" w:cs="Arial"/>
        </w:rPr>
        <w:t xml:space="preserve"> </w:t>
      </w:r>
      <w:r w:rsidRPr="00402EE9">
        <w:rPr>
          <w:rFonts w:ascii="Arial" w:hAnsi="Arial" w:cs="Arial" w:hint="cs"/>
          <w:rtl/>
        </w:rPr>
        <w:t>منتصبة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بمقر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محكمة</w:t>
      </w:r>
      <w:r w:rsidRPr="00402EE9">
        <w:rPr>
          <w:rFonts w:ascii="Arial" w:hAnsi="Arial" w:cs="Arial"/>
          <w:rtl/>
        </w:rPr>
        <w:t xml:space="preserve"> </w:t>
      </w:r>
      <w:r w:rsidRPr="00402EE9">
        <w:rPr>
          <w:rFonts w:ascii="Arial" w:hAnsi="Arial" w:cs="Arial" w:hint="cs"/>
          <w:rtl/>
        </w:rPr>
        <w:t>استئناف</w:t>
      </w:r>
      <w:r>
        <w:rPr>
          <w:rFonts w:ascii="Arial" w:hAnsi="Arial" w:cs="Arial" w:hint="cs"/>
          <w:rtl/>
          <w:lang w:bidi="ar-TN"/>
        </w:rPr>
        <w:t>،</w:t>
      </w:r>
    </w:p>
    <w:p w14:paraId="6506FA54" w14:textId="1C69D290" w:rsidR="007C2995" w:rsidRPr="00402EE9" w:rsidRDefault="007C2995" w:rsidP="007C2995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2995">
        <w:rPr>
          <w:rFonts w:ascii="Arial" w:hAnsi="Arial" w:cs="Arial"/>
          <w:color w:val="000000"/>
          <w:shd w:val="clear" w:color="auto" w:fill="FFFFFF"/>
          <w:rtl/>
        </w:rPr>
        <w:t>مساعد أول لوكيل الجمهورية لدى محكمة ابتدائية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13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2E33F6EC" w14:textId="77777777" w:rsidR="00402EE9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قاضي تحقيق</w:t>
      </w:r>
      <w:r w:rsidRPr="008D53DB">
        <w:rPr>
          <w:rStyle w:val="Appelnotedebasdep"/>
          <w:rFonts w:ascii="Arial" w:hAnsi="Arial" w:cs="Arial"/>
          <w:rtl/>
        </w:rPr>
        <w:footnoteReference w:id="14"/>
      </w:r>
    </w:p>
    <w:p w14:paraId="15E08970" w14:textId="77777777" w:rsidR="00402EE9" w:rsidRPr="00A90ECA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0ECA">
        <w:rPr>
          <w:rFonts w:ascii="Arial" w:hAnsi="Arial" w:cs="Arial"/>
          <w:rtl/>
        </w:rPr>
        <w:t>وكيل رئيس محكمة ناحية بتونس</w:t>
      </w:r>
    </w:p>
    <w:p w14:paraId="6205407D" w14:textId="77777777" w:rsidR="00402EE9" w:rsidRPr="00A90ECA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0ECA">
        <w:rPr>
          <w:rFonts w:ascii="Arial" w:hAnsi="Arial" w:cs="Arial"/>
          <w:rtl/>
        </w:rPr>
        <w:t>رئيس محكمة ناحية منتصبة بمقر محكمة استئناف غير تونس</w:t>
      </w:r>
    </w:p>
    <w:p w14:paraId="7E87DB17" w14:textId="77777777" w:rsidR="00402EE9" w:rsidRPr="00A90ECA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0ECA">
        <w:rPr>
          <w:rFonts w:ascii="Arial" w:hAnsi="Arial" w:cs="Arial"/>
          <w:rtl/>
        </w:rPr>
        <w:t>مساعد مدع عام بإدارة المصالح العدلية</w:t>
      </w:r>
    </w:p>
    <w:p w14:paraId="3CECFFD6" w14:textId="77777777" w:rsidR="00402EE9" w:rsidRPr="00A90ECA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0ECA">
        <w:rPr>
          <w:rFonts w:ascii="Arial" w:hAnsi="Arial" w:cs="Arial"/>
          <w:rtl/>
        </w:rPr>
        <w:t>متفقد مساعد</w:t>
      </w:r>
    </w:p>
    <w:p w14:paraId="6B1F7F98" w14:textId="77777777" w:rsidR="00402EE9" w:rsidRPr="00A90ECA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0ECA">
        <w:rPr>
          <w:rFonts w:ascii="Arial" w:hAnsi="Arial" w:cs="Arial"/>
          <w:rtl/>
        </w:rPr>
        <w:t>قاضي أسرة</w:t>
      </w:r>
    </w:p>
    <w:p w14:paraId="4ADAA570" w14:textId="77777777" w:rsidR="00402EE9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0ECA">
        <w:rPr>
          <w:rFonts w:ascii="Arial" w:hAnsi="Arial" w:cs="Arial"/>
          <w:rtl/>
        </w:rPr>
        <w:t>قاضي الأطفال</w:t>
      </w:r>
    </w:p>
    <w:p w14:paraId="243DAD02" w14:textId="2D69B1E7" w:rsidR="0017608D" w:rsidRPr="00402EE9" w:rsidRDefault="00402EE9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02EE9">
        <w:rPr>
          <w:rFonts w:ascii="Saira" w:eastAsia="Times New Roman" w:hAnsi="Saira" w:cs="Times New Roman"/>
          <w:color w:val="000000"/>
          <w:spacing w:val="8"/>
          <w:sz w:val="24"/>
          <w:szCs w:val="24"/>
          <w:rtl/>
          <w:lang w:eastAsia="en-GB"/>
        </w:rPr>
        <w:t>رئيس فريق عمل بمركز الدراسات القانونية والقضائية</w:t>
      </w:r>
    </w:p>
    <w:p w14:paraId="6D22E9AF" w14:textId="77777777" w:rsidR="0017608D" w:rsidRPr="008D53DB" w:rsidRDefault="0017608D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قاضي تنفيذ العقوبات</w:t>
      </w:r>
      <w:r w:rsidR="00507B2F" w:rsidRPr="008D53DB">
        <w:rPr>
          <w:rStyle w:val="Appelnotedebasdep"/>
          <w:rFonts w:ascii="Arial" w:hAnsi="Arial" w:cs="Arial"/>
          <w:rtl/>
        </w:rPr>
        <w:footnoteReference w:id="15"/>
      </w:r>
    </w:p>
    <w:p w14:paraId="6F6BD51C" w14:textId="77777777" w:rsidR="00D22AF0" w:rsidRPr="008D53DB" w:rsidRDefault="008D53DB" w:rsidP="008D53D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 </w:t>
      </w:r>
      <w:r w:rsidR="002A4E6D" w:rsidRPr="008D53DB">
        <w:rPr>
          <w:rFonts w:ascii="Arial" w:hAnsi="Arial" w:cs="Arial"/>
          <w:rtl/>
        </w:rPr>
        <w:t>(ج)</w:t>
      </w:r>
      <w:r w:rsidR="00507B2F" w:rsidRPr="008D53DB">
        <w:rPr>
          <w:rStyle w:val="Appelnotedebasdep"/>
          <w:rFonts w:ascii="Arial" w:hAnsi="Arial" w:cs="Arial"/>
          <w:rtl/>
        </w:rPr>
        <w:footnoteReference w:id="16"/>
      </w:r>
      <w:r w:rsidR="002A4E6D" w:rsidRPr="008D53DB">
        <w:rPr>
          <w:rFonts w:ascii="Arial" w:hAnsi="Arial" w:cs="Arial"/>
          <w:rtl/>
        </w:rPr>
        <w:t xml:space="preserve"> </w:t>
      </w:r>
    </w:p>
    <w:p w14:paraId="16DB7ACD" w14:textId="77777777" w:rsidR="00D22AF0" w:rsidRPr="008D53DB" w:rsidRDefault="00D22AF0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مساعد وكيل الجمهوريّة</w:t>
      </w:r>
      <w:r w:rsidR="002A4E6D" w:rsidRPr="008D53DB">
        <w:rPr>
          <w:rFonts w:ascii="Arial" w:hAnsi="Arial" w:cs="Arial"/>
          <w:rtl/>
        </w:rPr>
        <w:t>،</w:t>
      </w:r>
    </w:p>
    <w:p w14:paraId="7D02C60A" w14:textId="77777777" w:rsidR="00D22AF0" w:rsidRPr="008D53DB" w:rsidRDefault="00D22AF0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قاضي بمحكمة ناحية</w:t>
      </w:r>
      <w:r w:rsidR="002A4E6D" w:rsidRPr="008D53DB">
        <w:rPr>
          <w:rFonts w:ascii="Arial" w:hAnsi="Arial" w:cs="Arial"/>
          <w:rtl/>
        </w:rPr>
        <w:t>،</w:t>
      </w:r>
    </w:p>
    <w:p w14:paraId="6E7456FB" w14:textId="77777777" w:rsidR="00D22AF0" w:rsidRPr="008D53DB" w:rsidRDefault="00D22AF0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قاضي منفرد</w:t>
      </w:r>
      <w:r w:rsidR="002A4E6D" w:rsidRPr="008D53DB">
        <w:rPr>
          <w:rFonts w:ascii="Arial" w:hAnsi="Arial" w:cs="Arial"/>
          <w:rtl/>
        </w:rPr>
        <w:t>،</w:t>
      </w:r>
    </w:p>
    <w:p w14:paraId="0039C403" w14:textId="77777777" w:rsidR="00D22AF0" w:rsidRPr="008D53DB" w:rsidRDefault="00D22AF0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قاضي المؤسسة</w:t>
      </w:r>
      <w:r w:rsidR="002A4E6D" w:rsidRPr="008D53DB">
        <w:rPr>
          <w:rFonts w:ascii="Arial" w:hAnsi="Arial" w:cs="Arial"/>
          <w:rtl/>
        </w:rPr>
        <w:t>،</w:t>
      </w:r>
    </w:p>
    <w:p w14:paraId="43215F10" w14:textId="77777777" w:rsidR="002A4E6D" w:rsidRPr="008D53DB" w:rsidRDefault="00D22AF0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قاضي الضمان الاجتماعي</w:t>
      </w:r>
      <w:r w:rsidR="00507B2F" w:rsidRPr="008D53DB">
        <w:rPr>
          <w:rStyle w:val="Appelnotedebasdep"/>
          <w:rFonts w:ascii="Arial" w:hAnsi="Arial" w:cs="Arial"/>
          <w:rtl/>
        </w:rPr>
        <w:footnoteReference w:id="17"/>
      </w:r>
      <w:r w:rsidR="002A4E6D" w:rsidRPr="008D53DB">
        <w:rPr>
          <w:rFonts w:ascii="Arial" w:hAnsi="Arial" w:cs="Arial"/>
          <w:rtl/>
        </w:rPr>
        <w:t>،</w:t>
      </w:r>
    </w:p>
    <w:p w14:paraId="43E6146D" w14:textId="77777777" w:rsidR="007C2995" w:rsidRDefault="002979E5" w:rsidP="007C2995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979E5">
        <w:rPr>
          <w:rFonts w:ascii="Arial" w:hAnsi="Arial" w:cs="Arial" w:hint="cs"/>
          <w:rtl/>
          <w:lang w:bidi="ar-TN"/>
        </w:rPr>
        <w:t>قاضي السجلات</w:t>
      </w:r>
      <w:r w:rsidRPr="002979E5">
        <w:rPr>
          <w:rStyle w:val="Appelnotedebasdep"/>
          <w:rFonts w:ascii="Arial" w:hAnsi="Arial" w:cs="Arial"/>
          <w:rtl/>
          <w:lang w:bidi="ar-TN"/>
        </w:rPr>
        <w:footnoteReference w:id="18"/>
      </w:r>
      <w:r w:rsidR="007C2995">
        <w:rPr>
          <w:rFonts w:ascii="Arial" w:hAnsi="Arial" w:cs="Arial" w:hint="cs"/>
          <w:rtl/>
          <w:lang w:bidi="ar-TN"/>
        </w:rPr>
        <w:t>،</w:t>
      </w:r>
    </w:p>
    <w:p w14:paraId="0ED3F45A" w14:textId="0FF1B616" w:rsidR="007C2995" w:rsidRPr="007C2995" w:rsidRDefault="007C2995" w:rsidP="007C2995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2995">
        <w:rPr>
          <w:rFonts w:ascii="Arial" w:hAnsi="Arial" w:cs="Arial"/>
          <w:color w:val="000000"/>
          <w:shd w:val="clear" w:color="auto" w:fill="FFFFFF"/>
          <w:rtl/>
        </w:rPr>
        <w:t>قاضي السجل العقاري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19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A91958C" w14:textId="77777777" w:rsidR="002A4E6D" w:rsidRPr="008D53DB" w:rsidRDefault="00D22AF0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قاضي مقرّر بالمحكمة العقارية</w:t>
      </w:r>
      <w:r w:rsidR="002A4E6D" w:rsidRPr="008D53DB">
        <w:rPr>
          <w:rFonts w:ascii="Arial" w:hAnsi="Arial" w:cs="Arial"/>
          <w:rtl/>
        </w:rPr>
        <w:t>،</w:t>
      </w:r>
    </w:p>
    <w:p w14:paraId="6E22FBD7" w14:textId="77777777" w:rsidR="002A4E6D" w:rsidRPr="008D53DB" w:rsidRDefault="00D22AF0" w:rsidP="008D53DB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D53DB">
        <w:rPr>
          <w:rFonts w:ascii="Arial" w:hAnsi="Arial" w:cs="Arial"/>
          <w:rtl/>
        </w:rPr>
        <w:t>قاض باحث بمركز الدراسات القانونيّة والقضائية</w:t>
      </w:r>
    </w:p>
    <w:p w14:paraId="40C78874" w14:textId="7754145B" w:rsidR="00D22AF0" w:rsidRPr="00402EE9" w:rsidRDefault="00D22AF0" w:rsidP="00402EE9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قاضي </w:t>
      </w:r>
      <w:r w:rsidR="00652628" w:rsidRPr="008D53DB">
        <w:rPr>
          <w:rFonts w:ascii="Arial" w:hAnsi="Arial" w:cs="Arial" w:hint="cs"/>
          <w:rtl/>
        </w:rPr>
        <w:t>الائتمان</w:t>
      </w:r>
      <w:r w:rsidRPr="008D53DB">
        <w:rPr>
          <w:rFonts w:ascii="Arial" w:hAnsi="Arial" w:cs="Arial"/>
          <w:rtl/>
        </w:rPr>
        <w:t xml:space="preserve"> </w:t>
      </w:r>
      <w:r w:rsidR="002A4E6D" w:rsidRPr="008D53DB">
        <w:rPr>
          <w:rFonts w:ascii="Arial" w:hAnsi="Arial" w:cs="Arial"/>
          <w:rtl/>
        </w:rPr>
        <w:t>والتصفية</w:t>
      </w:r>
      <w:r w:rsidR="000B0780" w:rsidRPr="008D53DB">
        <w:rPr>
          <w:rFonts w:ascii="Arial" w:hAnsi="Arial" w:cs="Arial"/>
          <w:rtl/>
        </w:rPr>
        <w:t>.</w:t>
      </w:r>
      <w:r w:rsidR="00464173" w:rsidRPr="008D53DB">
        <w:rPr>
          <w:rStyle w:val="Appelnotedebasdep"/>
          <w:rFonts w:ascii="Arial" w:hAnsi="Arial" w:cs="Arial"/>
          <w:rtl/>
        </w:rPr>
        <w:footnoteReference w:id="20"/>
      </w:r>
      <w:r w:rsidR="002A4E6D" w:rsidRPr="008D53DB">
        <w:rPr>
          <w:rFonts w:ascii="Arial" w:hAnsi="Arial" w:cs="Arial"/>
          <w:rtl/>
        </w:rPr>
        <w:t xml:space="preserve"> </w:t>
      </w:r>
    </w:p>
    <w:p w14:paraId="41CA90B9" w14:textId="77777777" w:rsidR="00D22AF0" w:rsidRPr="008D53DB" w:rsidRDefault="00464173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b/>
          <w:bCs/>
          <w:rtl/>
        </w:rPr>
        <w:t xml:space="preserve">الفصل </w:t>
      </w:r>
      <w:r w:rsidR="008D53DB" w:rsidRPr="008D53DB">
        <w:rPr>
          <w:rFonts w:ascii="Arial" w:hAnsi="Arial" w:cs="Arial" w:hint="cs"/>
          <w:b/>
          <w:bCs/>
          <w:rtl/>
        </w:rPr>
        <w:t xml:space="preserve">2 </w:t>
      </w:r>
      <w:r w:rsidR="008D53DB" w:rsidRPr="008D53DB">
        <w:rPr>
          <w:rFonts w:ascii="Arial" w:hAnsi="Arial" w:cs="Arial"/>
          <w:b/>
          <w:bCs/>
          <w:rtl/>
        </w:rPr>
        <w:t>–</w:t>
      </w:r>
      <w:r w:rsidR="008D53DB" w:rsidRPr="008D53DB">
        <w:rPr>
          <w:rFonts w:ascii="Arial" w:hAnsi="Arial" w:cs="Arial" w:hint="cs"/>
          <w:rtl/>
        </w:rPr>
        <w:t xml:space="preserve"> إن المنح</w:t>
      </w:r>
      <w:r w:rsidR="00D22AF0" w:rsidRPr="008D53DB">
        <w:rPr>
          <w:rFonts w:ascii="Arial" w:hAnsi="Arial" w:cs="Arial"/>
          <w:rtl/>
        </w:rPr>
        <w:t xml:space="preserve"> وغيرها من المنافع الأخرى المخوّلة</w:t>
      </w:r>
      <w:r w:rsidR="00D22AF0" w:rsidRPr="008D53DB">
        <w:rPr>
          <w:rFonts w:ascii="Arial" w:hAnsi="Arial" w:cs="Arial"/>
        </w:rPr>
        <w:t>:</w:t>
      </w:r>
    </w:p>
    <w:p w14:paraId="131EE718" w14:textId="77777777" w:rsidR="00D22AF0" w:rsidRPr="008D53DB" w:rsidRDefault="00D22AF0" w:rsidP="00464173">
      <w:pPr>
        <w:pStyle w:val="Paragraphedeliste"/>
        <w:numPr>
          <w:ilvl w:val="0"/>
          <w:numId w:val="5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للوظائف المذكورة بالفصل الأوّل- الفقرة </w:t>
      </w:r>
      <w:r w:rsidR="000B0780" w:rsidRPr="008D53DB">
        <w:rPr>
          <w:rFonts w:ascii="Arial" w:hAnsi="Arial" w:cs="Arial"/>
          <w:rtl/>
        </w:rPr>
        <w:t>(</w:t>
      </w:r>
      <w:r w:rsidRPr="008D53DB">
        <w:rPr>
          <w:rFonts w:ascii="Arial" w:hAnsi="Arial" w:cs="Arial"/>
          <w:rtl/>
        </w:rPr>
        <w:t xml:space="preserve">أ – </w:t>
      </w:r>
      <w:r w:rsidR="00652628" w:rsidRPr="008D53DB">
        <w:rPr>
          <w:rFonts w:ascii="Arial" w:hAnsi="Arial" w:cs="Arial" w:hint="cs"/>
          <w:rtl/>
        </w:rPr>
        <w:t>1) هي</w:t>
      </w:r>
      <w:r w:rsidRPr="008D53DB">
        <w:rPr>
          <w:rFonts w:ascii="Arial" w:hAnsi="Arial" w:cs="Arial"/>
          <w:rtl/>
        </w:rPr>
        <w:t xml:space="preserve"> نفسها المخوّلة لوظائف كاتب عام لوزارة</w:t>
      </w:r>
      <w:r w:rsidRPr="008D53DB">
        <w:rPr>
          <w:rFonts w:ascii="Arial" w:hAnsi="Arial" w:cs="Arial"/>
        </w:rPr>
        <w:t>.</w:t>
      </w:r>
    </w:p>
    <w:p w14:paraId="23944E0D" w14:textId="77777777" w:rsidR="00464173" w:rsidRPr="008D53DB" w:rsidRDefault="00D22AF0" w:rsidP="00464173">
      <w:pPr>
        <w:pStyle w:val="Paragraphedeliste"/>
        <w:numPr>
          <w:ilvl w:val="0"/>
          <w:numId w:val="5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للوظائف المذكورة بالفصل الأوّل – الفقرة </w:t>
      </w:r>
      <w:r w:rsidR="000B0780" w:rsidRPr="008D53DB">
        <w:rPr>
          <w:rFonts w:ascii="Arial" w:hAnsi="Arial" w:cs="Arial"/>
          <w:rtl/>
        </w:rPr>
        <w:t>(</w:t>
      </w:r>
      <w:r w:rsidRPr="008D53DB">
        <w:rPr>
          <w:rFonts w:ascii="Arial" w:hAnsi="Arial" w:cs="Arial"/>
          <w:rtl/>
        </w:rPr>
        <w:t xml:space="preserve">أ – </w:t>
      </w:r>
      <w:r w:rsidR="00652628" w:rsidRPr="008D53DB">
        <w:rPr>
          <w:rFonts w:ascii="Arial" w:hAnsi="Arial" w:cs="Arial" w:hint="cs"/>
          <w:rtl/>
        </w:rPr>
        <w:t>2) هي</w:t>
      </w:r>
      <w:r w:rsidRPr="008D53DB">
        <w:rPr>
          <w:rFonts w:ascii="Arial" w:hAnsi="Arial" w:cs="Arial"/>
          <w:rtl/>
        </w:rPr>
        <w:t xml:space="preserve"> نفسها المخوّلة لوظائف مدير عام </w:t>
      </w:r>
      <w:r w:rsidR="002A4E6D" w:rsidRPr="008D53DB">
        <w:rPr>
          <w:rFonts w:ascii="Arial" w:hAnsi="Arial" w:cs="Arial"/>
          <w:rtl/>
        </w:rPr>
        <w:t xml:space="preserve">إدارة </w:t>
      </w:r>
      <w:r w:rsidRPr="008D53DB">
        <w:rPr>
          <w:rFonts w:ascii="Arial" w:hAnsi="Arial" w:cs="Arial"/>
          <w:rtl/>
        </w:rPr>
        <w:t xml:space="preserve">مركزيّة يضاف إليها منحة مساوية للفارق بين مبلغ المنح المسندة إلى كاتب عام وزارة والمنح المخوّلة </w:t>
      </w:r>
      <w:r w:rsidR="002A4E6D" w:rsidRPr="008D53DB">
        <w:rPr>
          <w:rFonts w:ascii="Arial" w:hAnsi="Arial" w:cs="Arial"/>
          <w:rtl/>
        </w:rPr>
        <w:t xml:space="preserve">إلى </w:t>
      </w:r>
      <w:r w:rsidRPr="008D53DB">
        <w:rPr>
          <w:rFonts w:ascii="Arial" w:hAnsi="Arial" w:cs="Arial"/>
          <w:rtl/>
        </w:rPr>
        <w:t>مدير عام إدارة مركزية</w:t>
      </w:r>
      <w:r w:rsidR="00464173" w:rsidRPr="008D53DB">
        <w:rPr>
          <w:rStyle w:val="Appelnotedebasdep"/>
          <w:rFonts w:ascii="Arial" w:hAnsi="Arial" w:cs="Arial"/>
          <w:rtl/>
        </w:rPr>
        <w:footnoteReference w:id="21"/>
      </w:r>
    </w:p>
    <w:p w14:paraId="0B830365" w14:textId="77777777" w:rsidR="00D22AF0" w:rsidRPr="008D53DB" w:rsidRDefault="00D22AF0" w:rsidP="00464173">
      <w:pPr>
        <w:pStyle w:val="Paragraphedeliste"/>
        <w:numPr>
          <w:ilvl w:val="0"/>
          <w:numId w:val="5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للوظائف المذكورة بالفصل الأوّل الفقرة </w:t>
      </w:r>
      <w:r w:rsidR="000B0780" w:rsidRPr="008D53DB">
        <w:rPr>
          <w:rFonts w:ascii="Arial" w:hAnsi="Arial" w:cs="Arial"/>
          <w:rtl/>
        </w:rPr>
        <w:t>(</w:t>
      </w:r>
      <w:r w:rsidRPr="008D53DB">
        <w:rPr>
          <w:rFonts w:ascii="Arial" w:hAnsi="Arial" w:cs="Arial"/>
          <w:rtl/>
        </w:rPr>
        <w:t xml:space="preserve">أ- </w:t>
      </w:r>
      <w:r w:rsidR="00652628" w:rsidRPr="008D53DB">
        <w:rPr>
          <w:rFonts w:ascii="Arial" w:hAnsi="Arial" w:cs="Arial" w:hint="cs"/>
          <w:rtl/>
        </w:rPr>
        <w:t>3) هي</w:t>
      </w:r>
      <w:r w:rsidRPr="008D53DB">
        <w:rPr>
          <w:rFonts w:ascii="Arial" w:hAnsi="Arial" w:cs="Arial"/>
          <w:rtl/>
        </w:rPr>
        <w:t xml:space="preserve"> نفسها المخوّلة لوظائف مدير إدارة مركزيّة</w:t>
      </w:r>
      <w:r w:rsidRPr="008D53DB">
        <w:rPr>
          <w:rFonts w:ascii="Arial" w:hAnsi="Arial" w:cs="Arial"/>
        </w:rPr>
        <w:t>.</w:t>
      </w:r>
    </w:p>
    <w:p w14:paraId="3C25F5C9" w14:textId="77777777" w:rsidR="00D22AF0" w:rsidRPr="008D53DB" w:rsidRDefault="00D22AF0" w:rsidP="00464173">
      <w:pPr>
        <w:pStyle w:val="Paragraphedeliste"/>
        <w:numPr>
          <w:ilvl w:val="0"/>
          <w:numId w:val="5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للوظائف المذكورة بالفصل الأوّل</w:t>
      </w:r>
      <w:r w:rsidR="000B0780" w:rsidRPr="008D53DB">
        <w:rPr>
          <w:rFonts w:ascii="Arial" w:hAnsi="Arial" w:cs="Arial"/>
          <w:rtl/>
        </w:rPr>
        <w:t xml:space="preserve"> </w:t>
      </w:r>
      <w:r w:rsidRPr="008D53DB">
        <w:rPr>
          <w:rFonts w:ascii="Arial" w:hAnsi="Arial" w:cs="Arial"/>
          <w:rtl/>
        </w:rPr>
        <w:t xml:space="preserve">الفقرة </w:t>
      </w:r>
      <w:r w:rsidR="00652628" w:rsidRPr="008D53DB">
        <w:rPr>
          <w:rFonts w:ascii="Arial" w:hAnsi="Arial" w:cs="Arial" w:hint="cs"/>
          <w:rtl/>
        </w:rPr>
        <w:t>(ب) هي</w:t>
      </w:r>
      <w:r w:rsidRPr="008D53DB">
        <w:rPr>
          <w:rFonts w:ascii="Arial" w:hAnsi="Arial" w:cs="Arial"/>
          <w:rtl/>
        </w:rPr>
        <w:t xml:space="preserve"> نفسها المخوّلة </w:t>
      </w:r>
      <w:r w:rsidR="00652628" w:rsidRPr="008D53DB">
        <w:rPr>
          <w:rFonts w:ascii="Arial" w:hAnsi="Arial" w:cs="Arial" w:hint="cs"/>
          <w:rtl/>
        </w:rPr>
        <w:t>لقاهية</w:t>
      </w:r>
      <w:r w:rsidRPr="008D53DB">
        <w:rPr>
          <w:rFonts w:ascii="Arial" w:hAnsi="Arial" w:cs="Arial"/>
          <w:rtl/>
        </w:rPr>
        <w:t xml:space="preserve"> مدير إدارة مركزيّة</w:t>
      </w:r>
      <w:r w:rsidRPr="008D53DB">
        <w:rPr>
          <w:rFonts w:ascii="Arial" w:hAnsi="Arial" w:cs="Arial"/>
        </w:rPr>
        <w:t>.</w:t>
      </w:r>
    </w:p>
    <w:p w14:paraId="1752ED6C" w14:textId="77777777" w:rsidR="00D22AF0" w:rsidRPr="008D53DB" w:rsidRDefault="00D22AF0" w:rsidP="00464173">
      <w:pPr>
        <w:pStyle w:val="Paragraphedeliste"/>
        <w:numPr>
          <w:ilvl w:val="0"/>
          <w:numId w:val="5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للوظائف المذكورة بالفصل الأوّل الفقرة </w:t>
      </w:r>
      <w:r w:rsidR="00652628" w:rsidRPr="008D53DB">
        <w:rPr>
          <w:rFonts w:ascii="Arial" w:hAnsi="Arial" w:cs="Arial" w:hint="cs"/>
          <w:rtl/>
        </w:rPr>
        <w:t>(ج) هي</w:t>
      </w:r>
      <w:r w:rsidRPr="008D53DB">
        <w:rPr>
          <w:rFonts w:ascii="Arial" w:hAnsi="Arial" w:cs="Arial"/>
          <w:rtl/>
        </w:rPr>
        <w:t xml:space="preserve"> نفسها المخوّلة لوظائف رئيس مصلحة</w:t>
      </w:r>
      <w:r w:rsidRPr="008D53DB">
        <w:rPr>
          <w:rFonts w:ascii="Arial" w:hAnsi="Arial" w:cs="Arial"/>
        </w:rPr>
        <w:t>.</w:t>
      </w:r>
    </w:p>
    <w:p w14:paraId="17E791C2" w14:textId="77777777" w:rsidR="00402EE9" w:rsidRDefault="00D22AF0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b/>
          <w:bCs/>
          <w:rtl/>
        </w:rPr>
        <w:t xml:space="preserve">الفصل </w:t>
      </w:r>
      <w:r w:rsidR="000B0780" w:rsidRPr="008D53DB">
        <w:rPr>
          <w:rFonts w:ascii="Arial" w:hAnsi="Arial" w:cs="Arial"/>
          <w:b/>
          <w:bCs/>
          <w:rtl/>
        </w:rPr>
        <w:t xml:space="preserve">3 (جديد) – نقح بالأمر عدد 461 لسنة 1976 المؤرخ في 19 ماي </w:t>
      </w:r>
      <w:r w:rsidR="00652628">
        <w:rPr>
          <w:rFonts w:ascii="Arial" w:hAnsi="Arial" w:cs="Arial" w:hint="cs"/>
          <w:b/>
          <w:bCs/>
          <w:rtl/>
        </w:rPr>
        <w:t xml:space="preserve">1976 - </w:t>
      </w:r>
      <w:r w:rsidRPr="008D53DB">
        <w:rPr>
          <w:rFonts w:ascii="Arial" w:hAnsi="Arial" w:cs="Arial"/>
          <w:rtl/>
        </w:rPr>
        <w:t xml:space="preserve">لا يمكـن أن تسنـد الوظائف المقـرّرة بالفصل الأوّل الفقرة </w:t>
      </w:r>
      <w:r w:rsidR="000B0780" w:rsidRPr="008D53DB">
        <w:rPr>
          <w:rFonts w:ascii="Arial" w:hAnsi="Arial" w:cs="Arial"/>
          <w:rtl/>
        </w:rPr>
        <w:t>(</w:t>
      </w:r>
      <w:r w:rsidRPr="008D53DB">
        <w:rPr>
          <w:rFonts w:ascii="Arial" w:hAnsi="Arial" w:cs="Arial"/>
          <w:rtl/>
        </w:rPr>
        <w:t>أ–</w:t>
      </w:r>
      <w:r w:rsidR="000B0780" w:rsidRPr="008D53DB">
        <w:rPr>
          <w:rFonts w:ascii="Arial" w:hAnsi="Arial" w:cs="Arial"/>
          <w:rtl/>
        </w:rPr>
        <w:t xml:space="preserve"> 1) </w:t>
      </w:r>
      <w:r w:rsidRPr="008D53DB">
        <w:rPr>
          <w:rFonts w:ascii="Arial" w:hAnsi="Arial" w:cs="Arial"/>
          <w:rtl/>
        </w:rPr>
        <w:t>إلاّ لقضاة</w:t>
      </w:r>
      <w:r w:rsidR="000B0780" w:rsidRPr="008D53DB">
        <w:rPr>
          <w:rFonts w:ascii="Arial" w:hAnsi="Arial" w:cs="Arial"/>
          <w:rtl/>
        </w:rPr>
        <w:t xml:space="preserve"> </w:t>
      </w:r>
      <w:r w:rsidRPr="008D53DB">
        <w:rPr>
          <w:rFonts w:ascii="Arial" w:hAnsi="Arial" w:cs="Arial"/>
          <w:rtl/>
        </w:rPr>
        <w:t xml:space="preserve">الرتبة الثالثة الذين مارسوا مدّة عامين على الأقلّ الوظائف المقرّرة بالفقرة </w:t>
      </w:r>
      <w:r w:rsidR="000B0780" w:rsidRPr="008D53DB">
        <w:rPr>
          <w:rFonts w:ascii="Arial" w:hAnsi="Arial" w:cs="Arial"/>
          <w:rtl/>
        </w:rPr>
        <w:t>(أ</w:t>
      </w:r>
      <w:r w:rsidRPr="008D53DB">
        <w:rPr>
          <w:rFonts w:ascii="Arial" w:hAnsi="Arial" w:cs="Arial"/>
          <w:rtl/>
        </w:rPr>
        <w:t>– 2</w:t>
      </w:r>
      <w:r w:rsidR="000B0780" w:rsidRPr="008D53DB">
        <w:rPr>
          <w:rFonts w:ascii="Arial" w:hAnsi="Arial" w:cs="Arial"/>
          <w:rtl/>
        </w:rPr>
        <w:t xml:space="preserve">) </w:t>
      </w:r>
      <w:r w:rsidRPr="008D53DB">
        <w:rPr>
          <w:rFonts w:ascii="Arial" w:hAnsi="Arial" w:cs="Arial"/>
          <w:rtl/>
        </w:rPr>
        <w:t>من نفس الفصل</w:t>
      </w:r>
      <w:r w:rsidRPr="008D53DB">
        <w:rPr>
          <w:rFonts w:ascii="Arial" w:hAnsi="Arial" w:cs="Arial"/>
        </w:rPr>
        <w:t>.</w:t>
      </w:r>
    </w:p>
    <w:p w14:paraId="3AD7FB3D" w14:textId="16E630B7" w:rsidR="00D22AF0" w:rsidRPr="008D53DB" w:rsidRDefault="00D22AF0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>ولا يمكن أن تسند الوظائف المقرّرة بالفصل الأوّل الفقرة</w:t>
      </w:r>
      <w:r w:rsidR="000B0780" w:rsidRPr="008D53DB">
        <w:rPr>
          <w:rFonts w:ascii="Arial" w:hAnsi="Arial" w:cs="Arial"/>
          <w:rtl/>
        </w:rPr>
        <w:t xml:space="preserve"> (</w:t>
      </w:r>
      <w:r w:rsidRPr="008D53DB">
        <w:rPr>
          <w:rFonts w:ascii="Arial" w:hAnsi="Arial" w:cs="Arial"/>
          <w:rtl/>
        </w:rPr>
        <w:t xml:space="preserve">أ – </w:t>
      </w:r>
      <w:r w:rsidR="00652628" w:rsidRPr="008D53DB">
        <w:rPr>
          <w:rFonts w:ascii="Arial" w:hAnsi="Arial" w:cs="Arial" w:hint="cs"/>
          <w:rtl/>
        </w:rPr>
        <w:t>2)</w:t>
      </w:r>
      <w:r w:rsidR="000B0780" w:rsidRPr="008D53DB">
        <w:rPr>
          <w:rFonts w:ascii="Arial" w:hAnsi="Arial" w:cs="Arial"/>
          <w:rtl/>
        </w:rPr>
        <w:t xml:space="preserve"> </w:t>
      </w:r>
      <w:r w:rsidRPr="008D53DB">
        <w:rPr>
          <w:rFonts w:ascii="Arial" w:hAnsi="Arial" w:cs="Arial"/>
          <w:rtl/>
        </w:rPr>
        <w:t>إلاّ لقضاة الرتبة الثالثة الذين لهم</w:t>
      </w:r>
      <w:r w:rsidR="002A4E6D" w:rsidRPr="008D53DB">
        <w:rPr>
          <w:rFonts w:ascii="Arial" w:hAnsi="Arial" w:cs="Arial"/>
          <w:rtl/>
        </w:rPr>
        <w:t xml:space="preserve"> </w:t>
      </w:r>
      <w:r w:rsidRPr="008D53DB">
        <w:rPr>
          <w:rFonts w:ascii="Arial" w:hAnsi="Arial" w:cs="Arial"/>
          <w:rtl/>
        </w:rPr>
        <w:t xml:space="preserve">أقدميّة ست سنوات على الأقلّ بتلك الرتبة أو الذين مارسوا مدّة عامين على الأقلّ الوظائف المقرّرة </w:t>
      </w:r>
      <w:r w:rsidR="00652628" w:rsidRPr="008D53DB">
        <w:rPr>
          <w:rFonts w:ascii="Arial" w:hAnsi="Arial" w:cs="Arial" w:hint="cs"/>
          <w:rtl/>
        </w:rPr>
        <w:t>بالفقرة (</w:t>
      </w:r>
      <w:r w:rsidRPr="008D53DB">
        <w:rPr>
          <w:rFonts w:ascii="Arial" w:hAnsi="Arial" w:cs="Arial"/>
          <w:rtl/>
        </w:rPr>
        <w:t>أ</w:t>
      </w:r>
      <w:r w:rsidR="000B0780" w:rsidRPr="008D53DB">
        <w:rPr>
          <w:rFonts w:ascii="Arial" w:hAnsi="Arial" w:cs="Arial"/>
          <w:rtl/>
        </w:rPr>
        <w:t xml:space="preserve">- 3) </w:t>
      </w:r>
      <w:r w:rsidRPr="008D53DB">
        <w:rPr>
          <w:rFonts w:ascii="Arial" w:hAnsi="Arial" w:cs="Arial"/>
          <w:rtl/>
        </w:rPr>
        <w:t>من نفس الفصل</w:t>
      </w:r>
      <w:r w:rsidRPr="008D53DB">
        <w:rPr>
          <w:rFonts w:ascii="Arial" w:hAnsi="Arial" w:cs="Arial"/>
        </w:rPr>
        <w:t>.</w:t>
      </w:r>
    </w:p>
    <w:p w14:paraId="2840F841" w14:textId="77777777" w:rsidR="00402EE9" w:rsidRDefault="00D22AF0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ولا يمكن أن تسند الوظائف المقرّرة بالفصل الأوّل الفقرة </w:t>
      </w:r>
      <w:r w:rsidR="000B0780" w:rsidRPr="008D53DB">
        <w:rPr>
          <w:rFonts w:ascii="Arial" w:hAnsi="Arial" w:cs="Arial"/>
          <w:rtl/>
        </w:rPr>
        <w:t>(</w:t>
      </w:r>
      <w:r w:rsidRPr="008D53DB">
        <w:rPr>
          <w:rFonts w:ascii="Arial" w:hAnsi="Arial" w:cs="Arial"/>
          <w:rtl/>
        </w:rPr>
        <w:t xml:space="preserve">أ – </w:t>
      </w:r>
      <w:r w:rsidR="00652628" w:rsidRPr="008D53DB">
        <w:rPr>
          <w:rFonts w:ascii="Arial" w:hAnsi="Arial" w:cs="Arial" w:hint="cs"/>
          <w:rtl/>
        </w:rPr>
        <w:t>3)</w:t>
      </w:r>
      <w:r w:rsidR="000B0780" w:rsidRPr="008D53DB">
        <w:rPr>
          <w:rFonts w:ascii="Arial" w:hAnsi="Arial" w:cs="Arial"/>
          <w:rtl/>
        </w:rPr>
        <w:t xml:space="preserve"> </w:t>
      </w:r>
      <w:r w:rsidRPr="008D53DB">
        <w:rPr>
          <w:rFonts w:ascii="Arial" w:hAnsi="Arial" w:cs="Arial"/>
          <w:rtl/>
        </w:rPr>
        <w:t>إلاّ لقضاة الرتبة الثالثة الذين لهم</w:t>
      </w:r>
      <w:r w:rsidR="002A4E6D" w:rsidRPr="008D53DB">
        <w:rPr>
          <w:rFonts w:ascii="Arial" w:hAnsi="Arial" w:cs="Arial"/>
          <w:rtl/>
        </w:rPr>
        <w:t xml:space="preserve"> </w:t>
      </w:r>
      <w:r w:rsidRPr="008D53DB">
        <w:rPr>
          <w:rFonts w:ascii="Arial" w:hAnsi="Arial" w:cs="Arial"/>
          <w:rtl/>
        </w:rPr>
        <w:t>أقدميّة ثلاث سنوات على الأقل بتلك الرتبة أو الذين مارسوا مدّة ثلاثة سنوات الوظائف المقرّرة بالفقرة</w:t>
      </w:r>
      <w:r w:rsidRPr="008D53DB">
        <w:rPr>
          <w:rFonts w:ascii="Arial" w:hAnsi="Arial" w:cs="Arial"/>
        </w:rPr>
        <w:t xml:space="preserve"> </w:t>
      </w:r>
      <w:r w:rsidR="00652628" w:rsidRPr="008D53DB">
        <w:rPr>
          <w:rFonts w:ascii="Arial" w:hAnsi="Arial" w:cs="Arial" w:hint="cs"/>
          <w:rtl/>
        </w:rPr>
        <w:t>(ب) من</w:t>
      </w:r>
      <w:r w:rsidRPr="008D53DB">
        <w:rPr>
          <w:rFonts w:ascii="Arial" w:hAnsi="Arial" w:cs="Arial"/>
          <w:rtl/>
        </w:rPr>
        <w:t xml:space="preserve"> نفس الفصل قبل ارتقائهم للرتبة الثالثة</w:t>
      </w:r>
      <w:r w:rsidRPr="008D53DB">
        <w:rPr>
          <w:rFonts w:ascii="Arial" w:hAnsi="Arial" w:cs="Arial"/>
        </w:rPr>
        <w:t>.</w:t>
      </w:r>
    </w:p>
    <w:p w14:paraId="21E37336" w14:textId="1751629E" w:rsidR="00D22AF0" w:rsidRPr="008D53DB" w:rsidRDefault="00D22AF0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ولا يمكن أن تسند الوظائف المقرّرة بالفصل الأوّل الفقرة </w:t>
      </w:r>
      <w:r w:rsidR="000B0780" w:rsidRPr="008D53DB">
        <w:rPr>
          <w:rFonts w:ascii="Arial" w:hAnsi="Arial" w:cs="Arial"/>
          <w:rtl/>
        </w:rPr>
        <w:t>(</w:t>
      </w:r>
      <w:r w:rsidR="00652628" w:rsidRPr="008D53DB">
        <w:rPr>
          <w:rFonts w:ascii="Arial" w:hAnsi="Arial" w:cs="Arial" w:hint="cs"/>
          <w:rtl/>
        </w:rPr>
        <w:t>ب) إلاّ</w:t>
      </w:r>
      <w:r w:rsidRPr="008D53DB">
        <w:rPr>
          <w:rFonts w:ascii="Arial" w:hAnsi="Arial" w:cs="Arial"/>
          <w:rtl/>
        </w:rPr>
        <w:t xml:space="preserve"> لقضاة الرتبة الثانية الذين لهم</w:t>
      </w:r>
      <w:r w:rsidR="002A4E6D" w:rsidRPr="008D53DB">
        <w:rPr>
          <w:rFonts w:ascii="Arial" w:hAnsi="Arial" w:cs="Arial"/>
          <w:rtl/>
        </w:rPr>
        <w:t xml:space="preserve"> </w:t>
      </w:r>
      <w:r w:rsidRPr="008D53DB">
        <w:rPr>
          <w:rFonts w:ascii="Arial" w:hAnsi="Arial" w:cs="Arial"/>
          <w:rtl/>
        </w:rPr>
        <w:t>أقدميّة ثلاث سنوات على الأقلّ بتلك الرتبة أو باشروا مدّة أربع سنوات على الأقلّ الوظائف المقرّرة بالفقرة</w:t>
      </w:r>
      <w:r w:rsidR="002A4E6D" w:rsidRPr="008D53DB">
        <w:rPr>
          <w:rFonts w:ascii="Arial" w:hAnsi="Arial" w:cs="Arial"/>
          <w:rtl/>
        </w:rPr>
        <w:t xml:space="preserve"> </w:t>
      </w:r>
      <w:r w:rsidR="000B0780" w:rsidRPr="008D53DB">
        <w:rPr>
          <w:rFonts w:ascii="Arial" w:hAnsi="Arial" w:cs="Arial"/>
          <w:rtl/>
        </w:rPr>
        <w:t>(ج)</w:t>
      </w:r>
      <w:r w:rsidRPr="008D53DB">
        <w:rPr>
          <w:rFonts w:ascii="Arial" w:hAnsi="Arial" w:cs="Arial"/>
          <w:rtl/>
        </w:rPr>
        <w:t xml:space="preserve"> من نفس الفصل قبل ارتقائهم للرتبة الثانية</w:t>
      </w:r>
      <w:r w:rsidRPr="008D53DB">
        <w:rPr>
          <w:rFonts w:ascii="Arial" w:hAnsi="Arial" w:cs="Arial"/>
        </w:rPr>
        <w:t>.</w:t>
      </w:r>
    </w:p>
    <w:p w14:paraId="36A22AE1" w14:textId="77777777" w:rsidR="00402EE9" w:rsidRDefault="00D22AF0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rtl/>
        </w:rPr>
        <w:t xml:space="preserve">ولا يمكن أن تسند الوظائف المقرّرة بالفصل الأوّل الفقرة </w:t>
      </w:r>
      <w:r w:rsidR="000B0780" w:rsidRPr="008D53DB">
        <w:rPr>
          <w:rFonts w:ascii="Arial" w:hAnsi="Arial" w:cs="Arial"/>
          <w:rtl/>
        </w:rPr>
        <w:t>(ج)</w:t>
      </w:r>
      <w:r w:rsidRPr="008D53DB">
        <w:rPr>
          <w:rFonts w:ascii="Arial" w:hAnsi="Arial" w:cs="Arial"/>
          <w:rtl/>
        </w:rPr>
        <w:t xml:space="preserve"> إلاّ لقضاة الرتبة الأولى الذين </w:t>
      </w:r>
      <w:r w:rsidR="002A4E6D" w:rsidRPr="008D53DB">
        <w:rPr>
          <w:rFonts w:ascii="Arial" w:hAnsi="Arial" w:cs="Arial"/>
          <w:rtl/>
        </w:rPr>
        <w:t xml:space="preserve">لهم </w:t>
      </w:r>
      <w:r w:rsidRPr="008D53DB">
        <w:rPr>
          <w:rFonts w:ascii="Arial" w:hAnsi="Arial" w:cs="Arial"/>
          <w:rtl/>
        </w:rPr>
        <w:t>أقدميّة خمس سنوات على الأقلّ بتلك الرتبة.</w:t>
      </w:r>
    </w:p>
    <w:p w14:paraId="688B42B6" w14:textId="77777777" w:rsidR="00402EE9" w:rsidRDefault="002A4E6D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b/>
          <w:bCs/>
          <w:rtl/>
        </w:rPr>
        <w:t>الفصل 4 –</w:t>
      </w:r>
      <w:r w:rsidRPr="008D53DB">
        <w:rPr>
          <w:rFonts w:ascii="Arial" w:hAnsi="Arial" w:cs="Arial"/>
          <w:rtl/>
        </w:rPr>
        <w:t xml:space="preserve"> ألغي الأمر المشار إليه أعلاه عدد 166 لسنة 1971 المؤرخ في 3 ماي 1981 والفصلان 2 و3 من الأمر المشار إليه أعلاه عدد 369 لسنة 1972 المؤرخ في 27 نوفمبر 1972.</w:t>
      </w:r>
    </w:p>
    <w:p w14:paraId="5360DF69" w14:textId="77777777" w:rsidR="00402EE9" w:rsidRDefault="002A4E6D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b/>
          <w:bCs/>
          <w:rtl/>
        </w:rPr>
        <w:t>الفصل 5 –</w:t>
      </w:r>
      <w:r w:rsidRPr="008D53DB">
        <w:rPr>
          <w:rFonts w:ascii="Arial" w:hAnsi="Arial" w:cs="Arial"/>
          <w:rtl/>
        </w:rPr>
        <w:t xml:space="preserve"> وزيرا العدل والمالية مكلفان كل فيما يخصه بتنفيذ هذا الأمر الذي يجري العمل به </w:t>
      </w:r>
      <w:r w:rsidR="00652628" w:rsidRPr="008D53DB">
        <w:rPr>
          <w:rFonts w:ascii="Arial" w:hAnsi="Arial" w:cs="Arial" w:hint="cs"/>
          <w:rtl/>
        </w:rPr>
        <w:t>ابتداء</w:t>
      </w:r>
      <w:r w:rsidRPr="008D53DB">
        <w:rPr>
          <w:rFonts w:ascii="Arial" w:hAnsi="Arial" w:cs="Arial"/>
          <w:rtl/>
        </w:rPr>
        <w:t xml:space="preserve"> من أول أكتوبر 1973 وينشر بالرائد الرسمي للجمهورية التونسية.</w:t>
      </w:r>
    </w:p>
    <w:p w14:paraId="0CB9D2C5" w14:textId="15C22061" w:rsidR="002A4E6D" w:rsidRPr="00402EE9" w:rsidRDefault="002A4E6D" w:rsidP="00402EE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D53DB">
        <w:rPr>
          <w:rFonts w:ascii="Arial" w:hAnsi="Arial" w:cs="Arial"/>
          <w:b/>
          <w:bCs/>
          <w:rtl/>
        </w:rPr>
        <w:t>تونس في 21 سبتمبر 1973</w:t>
      </w:r>
      <w:r w:rsidR="00464173" w:rsidRPr="008D53DB">
        <w:rPr>
          <w:rFonts w:ascii="Arial" w:hAnsi="Arial" w:cs="Arial"/>
          <w:b/>
          <w:bCs/>
          <w:rtl/>
        </w:rPr>
        <w:t>.</w:t>
      </w:r>
    </w:p>
    <w:sectPr w:rsidR="002A4E6D" w:rsidRPr="00402EE9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1801" w14:textId="77777777" w:rsidR="003774E5" w:rsidRDefault="003774E5" w:rsidP="008F3F2D">
      <w:r>
        <w:separator/>
      </w:r>
    </w:p>
  </w:endnote>
  <w:endnote w:type="continuationSeparator" w:id="0">
    <w:p w14:paraId="53B77EE8" w14:textId="77777777" w:rsidR="003774E5" w:rsidRDefault="003774E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ra">
    <w:altName w:val="Saira"/>
    <w:panose1 w:val="00000500000000000000"/>
    <w:charset w:val="00"/>
    <w:family w:val="auto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691E" w14:textId="77777777" w:rsidR="00FA3A74" w:rsidRPr="00A91DAC" w:rsidRDefault="00FA3A74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64707E" wp14:editId="4B3C9C64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11CA68" w14:textId="77777777"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262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262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A8EDD63" w14:textId="77777777" w:rsidR="00FA3A74" w:rsidRDefault="00FA3A7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4707E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5911CA68" w14:textId="77777777"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262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262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1A8EDD63" w14:textId="77777777" w:rsidR="00FA3A74" w:rsidRDefault="00FA3A7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48E0" w14:textId="77777777" w:rsidR="00FA3A74" w:rsidRDefault="00FA3A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4883AA" wp14:editId="4BEFFAB5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89768C" w14:textId="77777777"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42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42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883AA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289768C" w14:textId="77777777"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142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142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C189" w14:textId="77777777" w:rsidR="003774E5" w:rsidRDefault="003774E5" w:rsidP="00696990">
      <w:pPr>
        <w:bidi/>
        <w:jc w:val="both"/>
      </w:pPr>
      <w:r>
        <w:separator/>
      </w:r>
    </w:p>
  </w:footnote>
  <w:footnote w:type="continuationSeparator" w:id="0">
    <w:p w14:paraId="78C321D6" w14:textId="77777777" w:rsidR="003774E5" w:rsidRDefault="003774E5" w:rsidP="008F3F2D">
      <w:r>
        <w:continuationSeparator/>
      </w:r>
    </w:p>
  </w:footnote>
  <w:footnote w:id="1">
    <w:p w14:paraId="5071C599" w14:textId="4691AFA5" w:rsidR="00B11913" w:rsidRPr="000B0780" w:rsidRDefault="00B11913" w:rsidP="000B0780">
      <w:pPr>
        <w:pStyle w:val="Notedebasdepage"/>
        <w:bidi/>
        <w:ind w:left="283"/>
        <w:jc w:val="both"/>
        <w:rPr>
          <w:rFonts w:ascii="Arial" w:hAnsi="Arial" w:cs="Arial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الفصل </w:t>
      </w:r>
      <w:r w:rsidRPr="000B0780">
        <w:rPr>
          <w:rFonts w:ascii="Arial" w:hAnsi="Arial" w:cs="Arial"/>
          <w:rtl/>
          <w:lang w:bidi="ar-TN"/>
        </w:rPr>
        <w:t xml:space="preserve">الأول </w:t>
      </w:r>
      <w:r w:rsidR="00652628" w:rsidRPr="000B0780">
        <w:rPr>
          <w:rFonts w:ascii="Arial" w:hAnsi="Arial" w:cs="Arial" w:hint="cs"/>
          <w:rtl/>
          <w:lang w:bidi="ar-TN"/>
        </w:rPr>
        <w:t xml:space="preserve">– </w:t>
      </w:r>
      <w:r w:rsidR="00652628" w:rsidRPr="000B0780">
        <w:rPr>
          <w:rFonts w:ascii="Arial" w:hAnsi="Arial" w:cs="Arial"/>
          <w:rtl/>
          <w:lang w:bidi="ar-TN"/>
        </w:rPr>
        <w:t>(</w:t>
      </w:r>
      <w:r w:rsidR="00652628" w:rsidRPr="000B0780">
        <w:rPr>
          <w:rFonts w:ascii="Arial" w:hAnsi="Arial" w:cs="Arial" w:hint="cs"/>
          <w:rtl/>
          <w:lang w:bidi="ar-TN"/>
        </w:rPr>
        <w:t>فقرة</w:t>
      </w:r>
      <w:r w:rsidRPr="000B0780">
        <w:rPr>
          <w:rFonts w:ascii="Arial" w:hAnsi="Arial" w:cs="Arial"/>
          <w:rtl/>
          <w:lang w:bidi="ar-TN"/>
        </w:rPr>
        <w:t xml:space="preserve"> أ – </w:t>
      </w:r>
      <w:r w:rsidR="00652628" w:rsidRPr="000B0780">
        <w:rPr>
          <w:rFonts w:ascii="Arial" w:hAnsi="Arial" w:cs="Arial" w:hint="cs"/>
          <w:rtl/>
          <w:lang w:bidi="ar-TN"/>
        </w:rPr>
        <w:t>1)</w:t>
      </w:r>
      <w:r w:rsidRPr="000B0780">
        <w:rPr>
          <w:rFonts w:ascii="Arial" w:hAnsi="Arial" w:cs="Arial"/>
          <w:rtl/>
          <w:lang w:bidi="ar-TN"/>
        </w:rPr>
        <w:t xml:space="preserve"> جديدة نقحت </w:t>
      </w:r>
      <w:hyperlink r:id="rId1" w:history="1">
        <w:r w:rsidRPr="007C2995">
          <w:rPr>
            <w:rStyle w:val="Lienhypertexte"/>
            <w:rFonts w:ascii="Arial" w:hAnsi="Arial" w:cs="Arial"/>
            <w:rtl/>
            <w:lang w:bidi="ar-TN"/>
          </w:rPr>
          <w:t>بالأمر عدد 1021 لسنة 1987 المؤرخ في 7 أوت 1987</w:t>
        </w:r>
      </w:hyperlink>
      <w:r w:rsidRPr="000B0780">
        <w:rPr>
          <w:rFonts w:ascii="Arial" w:hAnsi="Arial" w:cs="Arial"/>
          <w:rtl/>
          <w:lang w:bidi="ar-TN"/>
        </w:rPr>
        <w:t>.</w:t>
      </w:r>
    </w:p>
  </w:footnote>
  <w:footnote w:id="2">
    <w:p w14:paraId="638D0268" w14:textId="4AB5B8AE" w:rsidR="00935F43" w:rsidRPr="00935F43" w:rsidRDefault="00935F43" w:rsidP="00935F43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r w:rsidRPr="00935F43">
        <w:rPr>
          <w:vertAlign w:val="superscript"/>
          <w:lang w:bidi="ar-TN"/>
        </w:rPr>
        <w:footnoteRef/>
      </w:r>
      <w:r>
        <w:rPr>
          <w:lang w:bidi="ar-TN"/>
        </w:rPr>
        <w:t xml:space="preserve"> </w:t>
      </w:r>
      <w:r w:rsidRPr="00935F43">
        <w:rPr>
          <w:rFonts w:ascii="Arial" w:hAnsi="Arial" w:cs="Arial"/>
          <w:rtl/>
          <w:lang w:bidi="ar-TN"/>
        </w:rPr>
        <w:t xml:space="preserve">حذفت خطة الوكيل العام للجمهورية بمقتضى </w:t>
      </w:r>
      <w:hyperlink r:id="rId2" w:history="1">
        <w:r w:rsidRPr="00402EE9">
          <w:rPr>
            <w:rStyle w:val="Lienhypertexte"/>
            <w:rFonts w:ascii="Arial" w:hAnsi="Arial" w:cs="Arial"/>
            <w:rtl/>
            <w:lang w:bidi="ar-TN"/>
          </w:rPr>
          <w:t>القانون عدد 80 لسنة 1987 المؤرخ في 29 ديسمبر 1987</w:t>
        </w:r>
      </w:hyperlink>
      <w:r w:rsidR="00402EE9">
        <w:rPr>
          <w:rFonts w:ascii="Arial" w:hAnsi="Arial" w:cs="Arial" w:hint="cs"/>
          <w:rtl/>
          <w:lang w:bidi="ar-TN"/>
        </w:rPr>
        <w:t>.</w:t>
      </w:r>
    </w:p>
  </w:footnote>
  <w:footnote w:id="3">
    <w:p w14:paraId="37B6623D" w14:textId="369DCB32" w:rsidR="00FA10A6" w:rsidRPr="000B0780" w:rsidRDefault="00FA10A6" w:rsidP="000B0780">
      <w:pPr>
        <w:pStyle w:val="Notedebasdepage"/>
        <w:bidi/>
        <w:ind w:left="283"/>
        <w:jc w:val="both"/>
        <w:rPr>
          <w:rFonts w:ascii="Arial" w:hAnsi="Arial" w:cs="Arial"/>
          <w:rtl/>
          <w:lang w:bidi="ar-TN"/>
        </w:rPr>
      </w:pPr>
      <w:r w:rsidRPr="000B0780">
        <w:rPr>
          <w:rStyle w:val="Appelnotedebasdep"/>
          <w:rFonts w:ascii="Arial" w:hAnsi="Arial" w:cs="Arial"/>
        </w:rPr>
        <w:footnoteRef/>
      </w:r>
      <w:r w:rsidRPr="000B0780">
        <w:rPr>
          <w:rFonts w:ascii="Arial" w:hAnsi="Arial" w:cs="Arial"/>
        </w:rPr>
        <w:t xml:space="preserve"> </w:t>
      </w:r>
      <w:r w:rsidRPr="000B0780">
        <w:rPr>
          <w:rFonts w:ascii="Arial" w:hAnsi="Arial" w:cs="Arial"/>
          <w:rtl/>
          <w:lang w:bidi="ar-TN"/>
        </w:rPr>
        <w:t xml:space="preserve">الفصل الأول – فقرة (أ – 2) جديدة نقحت </w:t>
      </w:r>
      <w:hyperlink r:id="rId3" w:history="1">
        <w:r w:rsidRPr="007C2995">
          <w:rPr>
            <w:rStyle w:val="Lienhypertexte"/>
            <w:rFonts w:ascii="Arial" w:hAnsi="Arial" w:cs="Arial"/>
            <w:rtl/>
            <w:lang w:bidi="ar-TN"/>
          </w:rPr>
          <w:t>بالأمر عدد 1011 لسنة 1996 المؤرخ في 27 ماي 1996</w:t>
        </w:r>
      </w:hyperlink>
      <w:r w:rsidRPr="000B0780">
        <w:rPr>
          <w:rFonts w:ascii="Arial" w:hAnsi="Arial" w:cs="Arial"/>
          <w:rtl/>
          <w:lang w:bidi="ar-TN"/>
        </w:rPr>
        <w:t>.</w:t>
      </w:r>
    </w:p>
  </w:footnote>
  <w:footnote w:id="4">
    <w:p w14:paraId="36D11F30" w14:textId="6D4261C5" w:rsidR="007C2995" w:rsidRPr="007C2995" w:rsidRDefault="007C2995" w:rsidP="007C2995">
      <w:pPr>
        <w:pStyle w:val="Notedebasdepage"/>
        <w:bidi/>
        <w:ind w:left="280"/>
        <w:jc w:val="both"/>
        <w:rPr>
          <w:rFonts w:cs="Arial"/>
          <w:rtl/>
        </w:rPr>
      </w:pPr>
      <w:r>
        <w:rPr>
          <w:rStyle w:val="Appelnotedebasdep"/>
        </w:rPr>
        <w:footnoteRef/>
      </w:r>
      <w:r>
        <w:t xml:space="preserve"> </w:t>
      </w:r>
      <w:r w:rsidRPr="007C2995">
        <w:rPr>
          <w:rFonts w:ascii="Arial" w:hAnsi="Arial" w:cs="Arial" w:hint="cs"/>
          <w:rtl/>
          <w:lang w:bidi="ar-TN"/>
        </w:rPr>
        <w:t>الفصل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 xml:space="preserve">الأول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الفقرة</w:t>
      </w:r>
      <w:r w:rsidRPr="007C2995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(أ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2)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7C2995">
        <w:rPr>
          <w:rFonts w:ascii="Arial" w:hAnsi="Arial" w:cs="Arial" w:hint="cs"/>
          <w:rtl/>
          <w:lang w:bidi="ar-TN"/>
        </w:rPr>
        <w:t>المطة</w:t>
      </w:r>
      <w:proofErr w:type="spellEnd"/>
      <w:r w:rsidRPr="007C2995">
        <w:rPr>
          <w:rFonts w:ascii="Arial" w:hAnsi="Arial" w:cs="Arial" w:hint="cs"/>
          <w:rtl/>
          <w:lang w:bidi="ar-TN"/>
        </w:rPr>
        <w:t xml:space="preserve"> 9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نقحت بمقتضى </w:t>
      </w:r>
      <w:r>
        <w:rPr>
          <w:rFonts w:ascii="Arial" w:hAnsi="Arial" w:cs="Arial" w:hint="cs"/>
          <w:rtl/>
          <w:lang w:bidi="ar-TN"/>
        </w:rPr>
        <w:t xml:space="preserve">الفصل الأول من </w:t>
      </w:r>
      <w:hyperlink r:id="rId4" w:history="1">
        <w:r w:rsidRPr="007C2995">
          <w:rPr>
            <w:rStyle w:val="Lienhypertexte"/>
            <w:rFonts w:ascii="Arial" w:hAnsi="Arial" w:cs="Arial" w:hint="cs"/>
            <w:rtl/>
            <w:lang w:bidi="ar-TN"/>
          </w:rPr>
          <w:t>الأمر الحكومي عدد 1163 لسنة 2019 المؤرخ في 25 ديسمبر 2019</w:t>
        </w:r>
      </w:hyperlink>
      <w:r w:rsidRPr="007C2995">
        <w:rPr>
          <w:rFonts w:ascii="Arial" w:hAnsi="Arial" w:cs="Arial" w:hint="cs"/>
          <w:rtl/>
          <w:lang w:bidi="ar-TN"/>
        </w:rPr>
        <w:t>.</w:t>
      </w:r>
    </w:p>
  </w:footnote>
  <w:footnote w:id="5">
    <w:p w14:paraId="48C17202" w14:textId="4B921B0E" w:rsidR="007C2995" w:rsidRPr="007C2995" w:rsidRDefault="007C2995" w:rsidP="007C2995">
      <w:pPr>
        <w:pStyle w:val="Notedebasdepage"/>
        <w:bidi/>
        <w:ind w:left="280"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 w:rsidRPr="007C2995">
        <w:rPr>
          <w:rFonts w:ascii="Arial" w:hAnsi="Arial" w:cs="Arial" w:hint="cs"/>
          <w:rtl/>
          <w:lang w:bidi="ar-TN"/>
        </w:rPr>
        <w:t>الفصل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 xml:space="preserve">الأول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الفقرة</w:t>
      </w:r>
      <w:r w:rsidRPr="007C2995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(أ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2)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7C2995">
        <w:rPr>
          <w:rFonts w:ascii="Arial" w:hAnsi="Arial" w:cs="Arial" w:hint="cs"/>
          <w:rtl/>
          <w:lang w:bidi="ar-TN"/>
        </w:rPr>
        <w:t>المطة</w:t>
      </w:r>
      <w:proofErr w:type="spellEnd"/>
      <w:r w:rsidRPr="007C2995"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10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نقحت بمقتضى </w:t>
      </w:r>
      <w:r>
        <w:rPr>
          <w:rFonts w:ascii="Arial" w:hAnsi="Arial" w:cs="Arial" w:hint="cs"/>
          <w:rtl/>
          <w:lang w:bidi="ar-TN"/>
        </w:rPr>
        <w:t xml:space="preserve">الفصل الأول من </w:t>
      </w:r>
      <w:r w:rsidRPr="007C2995">
        <w:rPr>
          <w:rFonts w:ascii="Arial" w:hAnsi="Arial" w:cs="Arial" w:hint="cs"/>
          <w:rtl/>
          <w:lang w:bidi="ar-TN"/>
        </w:rPr>
        <w:t>الأمر الحك</w:t>
      </w:r>
      <w:r>
        <w:rPr>
          <w:rFonts w:ascii="Arial" w:hAnsi="Arial" w:cs="Arial" w:hint="cs"/>
          <w:rtl/>
          <w:lang w:bidi="ar-TN"/>
        </w:rPr>
        <w:t>و</w:t>
      </w:r>
      <w:r w:rsidRPr="007C2995">
        <w:rPr>
          <w:rFonts w:ascii="Arial" w:hAnsi="Arial" w:cs="Arial" w:hint="cs"/>
          <w:rtl/>
          <w:lang w:bidi="ar-TN"/>
        </w:rPr>
        <w:t>مي عدد 1163 لسنة 2019 المؤرخ في 25 ديسمبر 2019.</w:t>
      </w:r>
    </w:p>
  </w:footnote>
  <w:footnote w:id="6">
    <w:p w14:paraId="7AAF3958" w14:textId="3F24B470" w:rsidR="007C2995" w:rsidRPr="007C2995" w:rsidRDefault="007C2995" w:rsidP="007C2995">
      <w:pPr>
        <w:pStyle w:val="Notedebasdepage"/>
        <w:bidi/>
        <w:ind w:left="280"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 w:rsidRPr="007C2995">
        <w:rPr>
          <w:rFonts w:ascii="Arial" w:hAnsi="Arial" w:cs="Arial" w:hint="cs"/>
          <w:rtl/>
          <w:lang w:bidi="ar-TN"/>
        </w:rPr>
        <w:t>الفصل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 xml:space="preserve">الأول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الفقرة</w:t>
      </w:r>
      <w:r w:rsidRPr="007C2995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(أ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2)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7C2995">
        <w:rPr>
          <w:rFonts w:ascii="Arial" w:hAnsi="Arial" w:cs="Arial" w:hint="cs"/>
          <w:rtl/>
          <w:lang w:bidi="ar-TN"/>
        </w:rPr>
        <w:t>المطة</w:t>
      </w:r>
      <w:proofErr w:type="spellEnd"/>
      <w:r w:rsidRPr="007C2995"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11</w:t>
      </w:r>
      <w:r w:rsidRPr="007C2995">
        <w:rPr>
          <w:rFonts w:ascii="Arial" w:hAnsi="Arial" w:cs="Arial" w:hint="cs"/>
          <w:rtl/>
          <w:lang w:bidi="ar-TN"/>
        </w:rPr>
        <w:t xml:space="preserve">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نقحت بمقتضى</w:t>
      </w:r>
      <w:r>
        <w:rPr>
          <w:rFonts w:ascii="Arial" w:hAnsi="Arial" w:cs="Arial" w:hint="cs"/>
          <w:rtl/>
          <w:lang w:bidi="ar-TN"/>
        </w:rPr>
        <w:t xml:space="preserve"> الفصل الأول من</w:t>
      </w:r>
      <w:r w:rsidRPr="007C2995">
        <w:rPr>
          <w:rFonts w:ascii="Arial" w:hAnsi="Arial" w:cs="Arial" w:hint="cs"/>
          <w:rtl/>
          <w:lang w:bidi="ar-TN"/>
        </w:rPr>
        <w:t xml:space="preserve"> الأمر الحك</w:t>
      </w:r>
      <w:r>
        <w:rPr>
          <w:rFonts w:ascii="Arial" w:hAnsi="Arial" w:cs="Arial" w:hint="cs"/>
          <w:rtl/>
          <w:lang w:bidi="ar-TN"/>
        </w:rPr>
        <w:t>و</w:t>
      </w:r>
      <w:r w:rsidRPr="007C2995">
        <w:rPr>
          <w:rFonts w:ascii="Arial" w:hAnsi="Arial" w:cs="Arial" w:hint="cs"/>
          <w:rtl/>
          <w:lang w:bidi="ar-TN"/>
        </w:rPr>
        <w:t>مي عدد 1163 لسنة 2019 المؤرخ في 25 ديسمبر 2019.</w:t>
      </w:r>
    </w:p>
  </w:footnote>
  <w:footnote w:id="7">
    <w:p w14:paraId="6AE387F6" w14:textId="77777777" w:rsidR="00FA10A6" w:rsidRPr="000B0780" w:rsidRDefault="00FA10A6" w:rsidP="000B0780">
      <w:pPr>
        <w:pStyle w:val="Notedebasdepage"/>
        <w:bidi/>
        <w:ind w:left="283"/>
        <w:jc w:val="both"/>
        <w:rPr>
          <w:rFonts w:ascii="Arial" w:hAnsi="Arial" w:cs="Arial"/>
          <w:rtl/>
          <w:lang w:bidi="ar-TN"/>
        </w:rPr>
      </w:pPr>
      <w:r w:rsidRPr="000B0780">
        <w:rPr>
          <w:rStyle w:val="Appelnotedebasdep"/>
          <w:rFonts w:ascii="Arial" w:hAnsi="Arial" w:cs="Arial"/>
        </w:rPr>
        <w:footnoteRef/>
      </w:r>
      <w:r w:rsidRPr="000B0780">
        <w:rPr>
          <w:rFonts w:ascii="Arial" w:hAnsi="Arial" w:cs="Arial"/>
        </w:rPr>
        <w:t xml:space="preserve"> </w:t>
      </w:r>
      <w:r w:rsidRPr="000B0780">
        <w:rPr>
          <w:rFonts w:ascii="Arial" w:hAnsi="Arial" w:cs="Arial"/>
          <w:rtl/>
          <w:lang w:bidi="ar-TN"/>
        </w:rPr>
        <w:t>الفصل الأول – فقرة (أ – 2)</w:t>
      </w:r>
      <w:r w:rsidR="00652628">
        <w:rPr>
          <w:rFonts w:ascii="Arial" w:hAnsi="Arial" w:cs="Arial"/>
          <w:rtl/>
          <w:lang w:bidi="ar-TN"/>
        </w:rPr>
        <w:t xml:space="preserve"> </w:t>
      </w:r>
      <w:proofErr w:type="spellStart"/>
      <w:r w:rsidRPr="000B0780">
        <w:rPr>
          <w:rFonts w:ascii="Arial" w:hAnsi="Arial" w:cs="Arial"/>
          <w:rtl/>
          <w:lang w:bidi="ar-TN"/>
        </w:rPr>
        <w:t>مطة</w:t>
      </w:r>
      <w:proofErr w:type="spellEnd"/>
      <w:r w:rsidRPr="000B0780">
        <w:rPr>
          <w:rFonts w:ascii="Arial" w:hAnsi="Arial" w:cs="Arial"/>
          <w:rtl/>
          <w:lang w:bidi="ar-TN"/>
        </w:rPr>
        <w:t xml:space="preserve"> جديدة </w:t>
      </w:r>
      <w:r w:rsidR="00F01DDB" w:rsidRPr="000B0780">
        <w:rPr>
          <w:rFonts w:ascii="Arial" w:hAnsi="Arial" w:cs="Arial"/>
          <w:rtl/>
          <w:lang w:bidi="ar-TN"/>
        </w:rPr>
        <w:t xml:space="preserve">أضيفت </w:t>
      </w:r>
      <w:r w:rsidR="00652628" w:rsidRPr="000B0780">
        <w:rPr>
          <w:rFonts w:ascii="Arial" w:hAnsi="Arial" w:cs="Arial" w:hint="cs"/>
          <w:rtl/>
          <w:lang w:bidi="ar-TN"/>
        </w:rPr>
        <w:t>بالأمر</w:t>
      </w:r>
      <w:r w:rsidR="00F01DDB" w:rsidRPr="000B0780">
        <w:rPr>
          <w:rFonts w:ascii="Arial" w:hAnsi="Arial" w:cs="Arial"/>
          <w:rtl/>
          <w:lang w:bidi="ar-TN"/>
        </w:rPr>
        <w:t xml:space="preserve"> عدد 1011 لسنة 1996 المؤرخ في 27 ماي 1996.</w:t>
      </w:r>
    </w:p>
  </w:footnote>
  <w:footnote w:id="8">
    <w:p w14:paraId="35E3E559" w14:textId="64511C88" w:rsidR="00F01DDB" w:rsidRPr="007C2995" w:rsidRDefault="00F01DDB" w:rsidP="000B0780">
      <w:pPr>
        <w:pStyle w:val="Notedebasdepage"/>
        <w:bidi/>
        <w:ind w:left="283"/>
        <w:jc w:val="both"/>
        <w:rPr>
          <w:rFonts w:ascii="Arial" w:hAnsi="Arial" w:cs="Arial"/>
          <w:rtl/>
          <w:lang w:bidi="ar-TN"/>
        </w:rPr>
      </w:pPr>
      <w:r w:rsidRPr="000B0780">
        <w:rPr>
          <w:rStyle w:val="Appelnotedebasdep"/>
          <w:rFonts w:ascii="Arial" w:hAnsi="Arial" w:cs="Arial"/>
        </w:rPr>
        <w:footnoteRef/>
      </w:r>
      <w:r w:rsidRPr="000B0780">
        <w:rPr>
          <w:rFonts w:ascii="Arial" w:hAnsi="Arial" w:cs="Arial"/>
        </w:rPr>
        <w:t xml:space="preserve"> </w:t>
      </w:r>
      <w:r w:rsidRPr="000B0780">
        <w:rPr>
          <w:rFonts w:ascii="Arial" w:hAnsi="Arial" w:cs="Arial"/>
          <w:rtl/>
          <w:lang w:bidi="ar-TN"/>
        </w:rPr>
        <w:t>الفصل الأو</w:t>
      </w:r>
      <w:r w:rsidRPr="007C2995">
        <w:rPr>
          <w:rFonts w:ascii="Arial" w:hAnsi="Arial" w:cs="Arial" w:hint="cs"/>
          <w:rtl/>
          <w:lang w:bidi="ar-TN"/>
        </w:rPr>
        <w:t>ل</w:t>
      </w:r>
      <w:r w:rsidRPr="007C2995">
        <w:rPr>
          <w:rFonts w:ascii="Arial" w:hAnsi="Arial" w:cs="Arial"/>
          <w:rtl/>
          <w:lang w:bidi="ar-TN"/>
        </w:rPr>
        <w:t xml:space="preserve"> – </w:t>
      </w:r>
      <w:r w:rsidRPr="007C2995">
        <w:rPr>
          <w:rFonts w:ascii="Arial" w:hAnsi="Arial" w:cs="Arial" w:hint="cs"/>
          <w:rtl/>
          <w:lang w:bidi="ar-TN"/>
        </w:rPr>
        <w:t>فقرة</w:t>
      </w:r>
      <w:r w:rsidRPr="007C2995">
        <w:rPr>
          <w:rFonts w:ascii="Arial" w:hAnsi="Arial" w:cs="Arial"/>
          <w:rtl/>
          <w:lang w:bidi="ar-TN"/>
        </w:rPr>
        <w:t xml:space="preserve"> (</w:t>
      </w:r>
      <w:r w:rsidRPr="007C2995">
        <w:rPr>
          <w:rFonts w:ascii="Arial" w:hAnsi="Arial" w:cs="Arial" w:hint="cs"/>
          <w:rtl/>
          <w:lang w:bidi="ar-TN"/>
        </w:rPr>
        <w:t>أ</w:t>
      </w:r>
      <w:r w:rsidR="00652628" w:rsidRPr="007C2995">
        <w:rPr>
          <w:rFonts w:ascii="Arial" w:hAnsi="Arial" w:cs="Arial"/>
          <w:rtl/>
          <w:lang w:bidi="ar-TN"/>
        </w:rPr>
        <w:t xml:space="preserve"> – 2) </w:t>
      </w:r>
      <w:proofErr w:type="spellStart"/>
      <w:r w:rsidRPr="007C2995">
        <w:rPr>
          <w:rFonts w:ascii="Arial" w:hAnsi="Arial" w:cs="Arial" w:hint="cs"/>
          <w:rtl/>
          <w:lang w:bidi="ar-TN"/>
        </w:rPr>
        <w:t>مطة</w:t>
      </w:r>
      <w:proofErr w:type="spellEnd"/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جديدة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أضيفت</w:t>
      </w:r>
      <w:r w:rsidRPr="007C2995">
        <w:rPr>
          <w:rFonts w:ascii="Arial" w:hAnsi="Arial" w:cs="Arial"/>
          <w:rtl/>
          <w:lang w:bidi="ar-TN"/>
        </w:rPr>
        <w:t xml:space="preserve"> </w:t>
      </w:r>
      <w:hyperlink r:id="rId5" w:history="1">
        <w:r w:rsidRPr="007C2995">
          <w:rPr>
            <w:rStyle w:val="Lienhypertexte"/>
            <w:rFonts w:ascii="Arial" w:hAnsi="Arial" w:cs="Arial" w:hint="cs"/>
            <w:rtl/>
            <w:lang w:bidi="ar-TN"/>
          </w:rPr>
          <w:t>بالأمر عدد 1380 لسنة 2006 المؤرخ في 22 ماي 2006</w:t>
        </w:r>
      </w:hyperlink>
      <w:r w:rsidRPr="007C2995">
        <w:rPr>
          <w:rFonts w:ascii="Arial" w:hAnsi="Arial" w:cs="Arial" w:hint="cs"/>
          <w:rtl/>
          <w:lang w:bidi="ar-TN"/>
        </w:rPr>
        <w:t>.</w:t>
      </w:r>
    </w:p>
  </w:footnote>
  <w:footnote w:id="9">
    <w:p w14:paraId="02E26047" w14:textId="77777777" w:rsidR="0017608D" w:rsidRPr="00464173" w:rsidRDefault="0017608D" w:rsidP="00464173">
      <w:pPr>
        <w:pStyle w:val="Notedebasdepage"/>
        <w:bidi/>
        <w:ind w:left="283"/>
        <w:jc w:val="both"/>
        <w:rPr>
          <w:rFonts w:ascii="Arial" w:hAnsi="Arial" w:cs="Arial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 w:rsidRPr="007C2995">
        <w:rPr>
          <w:rFonts w:ascii="Arial" w:hAnsi="Arial" w:cs="Arial" w:hint="cs"/>
          <w:rtl/>
          <w:lang w:bidi="ar-TN"/>
        </w:rPr>
        <w:t>الفصل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الأول</w:t>
      </w:r>
      <w:r w:rsidRPr="007C2995">
        <w:rPr>
          <w:rFonts w:ascii="Arial" w:hAnsi="Arial" w:cs="Arial"/>
          <w:rtl/>
          <w:lang w:bidi="ar-TN"/>
        </w:rPr>
        <w:t xml:space="preserve"> – </w:t>
      </w:r>
      <w:r w:rsidRPr="007C2995">
        <w:rPr>
          <w:rFonts w:ascii="Arial" w:hAnsi="Arial" w:cs="Arial" w:hint="cs"/>
          <w:rtl/>
          <w:lang w:bidi="ar-TN"/>
        </w:rPr>
        <w:t>فقرة</w:t>
      </w:r>
      <w:r w:rsidRPr="007C2995">
        <w:rPr>
          <w:rFonts w:ascii="Arial" w:hAnsi="Arial" w:cs="Arial"/>
          <w:rtl/>
          <w:lang w:bidi="ar-TN"/>
        </w:rPr>
        <w:t xml:space="preserve"> (</w:t>
      </w:r>
      <w:r w:rsidRPr="00464173">
        <w:rPr>
          <w:rFonts w:ascii="Arial" w:hAnsi="Arial" w:cs="Arial"/>
          <w:rtl/>
          <w:lang w:bidi="ar-TN"/>
        </w:rPr>
        <w:t>أ</w:t>
      </w:r>
      <w:r w:rsidR="00652628">
        <w:rPr>
          <w:rFonts w:ascii="Arial" w:hAnsi="Arial" w:cs="Arial"/>
          <w:rtl/>
          <w:lang w:bidi="ar-TN"/>
        </w:rPr>
        <w:t xml:space="preserve"> – 2) </w:t>
      </w:r>
      <w:proofErr w:type="spellStart"/>
      <w:r w:rsidRPr="00464173">
        <w:rPr>
          <w:rFonts w:ascii="Arial" w:hAnsi="Arial" w:cs="Arial"/>
          <w:rtl/>
          <w:lang w:bidi="ar-TN"/>
        </w:rPr>
        <w:t>مطة</w:t>
      </w:r>
      <w:proofErr w:type="spellEnd"/>
      <w:r w:rsidRPr="00464173">
        <w:rPr>
          <w:rFonts w:ascii="Arial" w:hAnsi="Arial" w:cs="Arial"/>
          <w:rtl/>
          <w:lang w:bidi="ar-TN"/>
        </w:rPr>
        <w:t xml:space="preserve"> جديدة أضيفت بالأمر عدد 1380 لسنة 2006 المؤرخ في 22 ماي 2006. </w:t>
      </w:r>
    </w:p>
  </w:footnote>
  <w:footnote w:id="10">
    <w:p w14:paraId="530151B1" w14:textId="7439E9FA" w:rsidR="007C2995" w:rsidRPr="007C2995" w:rsidRDefault="007C2995" w:rsidP="007C2995">
      <w:pPr>
        <w:pStyle w:val="Notedebasdepage"/>
        <w:bidi/>
        <w:ind w:left="280"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 w:rsidRPr="007C2995">
        <w:rPr>
          <w:rFonts w:ascii="Arial" w:hAnsi="Arial" w:cs="Arial" w:hint="cs"/>
          <w:rtl/>
          <w:lang w:bidi="ar-TN"/>
        </w:rPr>
        <w:t>الفصل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الأول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الفقرة</w:t>
      </w:r>
      <w:r w:rsidRPr="007C2995">
        <w:rPr>
          <w:rFonts w:ascii="Arial" w:hAnsi="Arial" w:cs="Arial"/>
          <w:rtl/>
          <w:lang w:bidi="ar-TN"/>
        </w:rPr>
        <w:t xml:space="preserve"> (</w:t>
      </w:r>
      <w:r w:rsidRPr="007C2995">
        <w:rPr>
          <w:rFonts w:ascii="Arial" w:hAnsi="Arial" w:cs="Arial" w:hint="cs"/>
          <w:rtl/>
          <w:lang w:bidi="ar-TN"/>
        </w:rPr>
        <w:t xml:space="preserve">أ </w:t>
      </w:r>
      <w:r w:rsidRPr="007C2995">
        <w:rPr>
          <w:rFonts w:ascii="Arial" w:hAnsi="Arial" w:cs="Arial"/>
          <w:rtl/>
          <w:lang w:bidi="ar-TN"/>
        </w:rPr>
        <w:t>–</w:t>
      </w:r>
      <w:r w:rsidRPr="007C2995">
        <w:rPr>
          <w:rFonts w:ascii="Arial" w:hAnsi="Arial" w:cs="Arial" w:hint="cs"/>
          <w:rtl/>
          <w:lang w:bidi="ar-TN"/>
        </w:rPr>
        <w:t xml:space="preserve"> 2</w:t>
      </w:r>
      <w:r w:rsidRPr="007C2995">
        <w:rPr>
          <w:rFonts w:ascii="Arial" w:hAnsi="Arial" w:cs="Arial"/>
          <w:rtl/>
          <w:lang w:bidi="ar-TN"/>
        </w:rPr>
        <w:t xml:space="preserve">) </w:t>
      </w:r>
      <w:proofErr w:type="spellStart"/>
      <w:r w:rsidRPr="007C2995">
        <w:rPr>
          <w:rFonts w:ascii="Arial" w:hAnsi="Arial" w:cs="Arial" w:hint="cs"/>
          <w:rtl/>
          <w:lang w:bidi="ar-TN"/>
        </w:rPr>
        <w:t>مطة</w:t>
      </w:r>
      <w:proofErr w:type="spellEnd"/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أخيرة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جديدة أضيفت بمقتضى الفصل 4 من الأمر الحكومي عدد 1163 لسنة 2019 المؤرخ في 25 ديسمبر 2019.</w:t>
      </w:r>
    </w:p>
  </w:footnote>
  <w:footnote w:id="11">
    <w:p w14:paraId="41942835" w14:textId="23FC2608" w:rsidR="0017608D" w:rsidRPr="00464173" w:rsidRDefault="0017608D" w:rsidP="007C2995">
      <w:pPr>
        <w:pStyle w:val="Notedebasdepage"/>
        <w:bidi/>
        <w:ind w:left="283"/>
        <w:jc w:val="both"/>
        <w:rPr>
          <w:rFonts w:ascii="Arial" w:hAnsi="Arial" w:cs="Arial"/>
          <w:rtl/>
        </w:rPr>
      </w:pPr>
      <w:r w:rsidRPr="00464173">
        <w:rPr>
          <w:rStyle w:val="Appelnotedebasdep"/>
          <w:rFonts w:ascii="Arial" w:hAnsi="Arial" w:cs="Arial"/>
        </w:rPr>
        <w:footnoteRef/>
      </w:r>
      <w:r w:rsidRPr="00464173">
        <w:rPr>
          <w:rFonts w:ascii="Arial" w:hAnsi="Arial" w:cs="Arial"/>
        </w:rPr>
        <w:t xml:space="preserve"> </w:t>
      </w:r>
      <w:r w:rsidRPr="00464173">
        <w:rPr>
          <w:rFonts w:ascii="Arial" w:hAnsi="Arial" w:cs="Arial"/>
          <w:rtl/>
        </w:rPr>
        <w:t>الفصل الأول – فقرة (أ – 3) جديدة نقحت ب</w:t>
      </w:r>
      <w:r w:rsidR="007C2995">
        <w:rPr>
          <w:rFonts w:ascii="Arial" w:hAnsi="Arial" w:cs="Arial" w:hint="cs"/>
          <w:rtl/>
        </w:rPr>
        <w:t>مقتضى الفصل 2 من الأمر الحكومي عدد 1163 لسنة 2019 المؤرخ في 25 ديسمبر 2019.</w:t>
      </w:r>
    </w:p>
  </w:footnote>
  <w:footnote w:id="12">
    <w:p w14:paraId="0C8FDBD5" w14:textId="0D473716" w:rsidR="00AC64BD" w:rsidRPr="00464173" w:rsidRDefault="00AC64BD" w:rsidP="00464173">
      <w:pPr>
        <w:pStyle w:val="Notedebasdepage"/>
        <w:bidi/>
        <w:ind w:left="283"/>
        <w:rPr>
          <w:rFonts w:ascii="Arial" w:hAnsi="Arial" w:cs="Arial"/>
          <w:rtl/>
          <w:lang w:bidi="ar-TN"/>
        </w:rPr>
      </w:pPr>
      <w:r w:rsidRPr="00464173">
        <w:rPr>
          <w:rStyle w:val="Appelnotedebasdep"/>
          <w:rFonts w:ascii="Arial" w:hAnsi="Arial" w:cs="Arial"/>
        </w:rPr>
        <w:footnoteRef/>
      </w:r>
      <w:r w:rsidRPr="00464173">
        <w:rPr>
          <w:rFonts w:ascii="Arial" w:hAnsi="Arial" w:cs="Arial"/>
        </w:rPr>
        <w:t xml:space="preserve"> </w:t>
      </w:r>
      <w:r w:rsidRPr="00464173">
        <w:rPr>
          <w:rFonts w:ascii="Arial" w:hAnsi="Arial" w:cs="Arial"/>
          <w:rtl/>
        </w:rPr>
        <w:t>الفصل الأول – فقرة (</w:t>
      </w:r>
      <w:proofErr w:type="gramStart"/>
      <w:r w:rsidRPr="00464173">
        <w:rPr>
          <w:rFonts w:ascii="Arial" w:hAnsi="Arial" w:cs="Arial"/>
          <w:rtl/>
        </w:rPr>
        <w:t xml:space="preserve">ب </w:t>
      </w:r>
      <w:r w:rsidR="00652628">
        <w:rPr>
          <w:rFonts w:ascii="Arial" w:hAnsi="Arial" w:cs="Arial"/>
          <w:rtl/>
        </w:rPr>
        <w:t>)</w:t>
      </w:r>
      <w:proofErr w:type="gramEnd"/>
      <w:r w:rsidR="00652628">
        <w:rPr>
          <w:rFonts w:ascii="Arial" w:hAnsi="Arial" w:cs="Arial" w:hint="cs"/>
          <w:rtl/>
        </w:rPr>
        <w:t xml:space="preserve"> </w:t>
      </w:r>
      <w:r w:rsidRPr="00464173">
        <w:rPr>
          <w:rFonts w:ascii="Arial" w:hAnsi="Arial" w:cs="Arial"/>
          <w:rtl/>
        </w:rPr>
        <w:t>جديدة نقحت بالأمر عدد 1011 لسنة 1996 المؤرخ في 27 ماي 1996.</w:t>
      </w:r>
    </w:p>
  </w:footnote>
  <w:footnote w:id="13">
    <w:p w14:paraId="46F2F749" w14:textId="707C8652" w:rsidR="007C2995" w:rsidRPr="00464173" w:rsidRDefault="007C2995" w:rsidP="007C2995">
      <w:pPr>
        <w:pStyle w:val="Notedebasdepage"/>
        <w:bidi/>
        <w:ind w:left="283"/>
        <w:jc w:val="both"/>
        <w:rPr>
          <w:rFonts w:ascii="Arial" w:hAnsi="Arial" w:cs="Arial"/>
          <w:rtl/>
        </w:rPr>
      </w:pPr>
      <w:r>
        <w:rPr>
          <w:rStyle w:val="Appelnotedebasdep"/>
        </w:rPr>
        <w:footnoteRef/>
      </w:r>
      <w:r>
        <w:t xml:space="preserve"> </w:t>
      </w:r>
      <w:r w:rsidRPr="007C2995">
        <w:rPr>
          <w:rFonts w:ascii="Arial" w:hAnsi="Arial" w:cs="Arial" w:hint="cs"/>
          <w:rtl/>
          <w:lang w:bidi="ar-TN"/>
        </w:rPr>
        <w:t>الفصل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الأول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الفقرة</w:t>
      </w:r>
      <w:r w:rsidRPr="007C2995">
        <w:rPr>
          <w:rFonts w:ascii="Arial" w:hAnsi="Arial" w:cs="Arial"/>
          <w:rtl/>
          <w:lang w:bidi="ar-TN"/>
        </w:rPr>
        <w:t xml:space="preserve"> (</w:t>
      </w:r>
      <w:r w:rsidRPr="007C2995">
        <w:rPr>
          <w:rFonts w:ascii="Arial" w:hAnsi="Arial" w:cs="Arial" w:hint="cs"/>
          <w:rtl/>
          <w:lang w:bidi="ar-TN"/>
        </w:rPr>
        <w:t>ب</w:t>
      </w:r>
      <w:r w:rsidRPr="007C2995">
        <w:rPr>
          <w:rFonts w:ascii="Arial" w:hAnsi="Arial" w:cs="Arial"/>
          <w:rtl/>
          <w:lang w:bidi="ar-TN"/>
        </w:rPr>
        <w:t xml:space="preserve">) </w:t>
      </w:r>
      <w:proofErr w:type="spellStart"/>
      <w:r w:rsidRPr="007C2995">
        <w:rPr>
          <w:rFonts w:ascii="Arial" w:hAnsi="Arial" w:cs="Arial" w:hint="cs"/>
          <w:rtl/>
          <w:lang w:bidi="ar-TN"/>
        </w:rPr>
        <w:t>المطة</w:t>
      </w:r>
      <w:proofErr w:type="spellEnd"/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الرابعة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7C2995">
        <w:rPr>
          <w:rFonts w:ascii="Arial" w:hAnsi="Arial" w:cs="Arial" w:hint="cs"/>
          <w:rtl/>
          <w:lang w:bidi="ar-TN"/>
        </w:rPr>
        <w:t>جديدة</w:t>
      </w:r>
      <w:r w:rsidRPr="007C2995">
        <w:rPr>
          <w:rFonts w:ascii="Arial" w:hAnsi="Arial" w:cs="Arial"/>
          <w:rtl/>
          <w:lang w:bidi="ar-TN"/>
        </w:rPr>
        <w:t xml:space="preserve"> </w:t>
      </w:r>
      <w:r w:rsidRPr="00464173">
        <w:rPr>
          <w:rFonts w:ascii="Arial" w:hAnsi="Arial" w:cs="Arial"/>
          <w:rtl/>
          <w:lang w:bidi="ar-TN"/>
        </w:rPr>
        <w:t>نقحت ب</w:t>
      </w:r>
      <w:r>
        <w:rPr>
          <w:rFonts w:ascii="Arial" w:hAnsi="Arial" w:cs="Arial" w:hint="cs"/>
          <w:rtl/>
          <w:lang w:bidi="ar-TN"/>
        </w:rPr>
        <w:t>مقتضى الفصل 3 من الأمر الحكومي عدد 1163 لسنة 2019 المؤرخ في 25 ديسمبر 2019.</w:t>
      </w:r>
    </w:p>
    <w:p w14:paraId="19777C3A" w14:textId="72057878" w:rsidR="007C2995" w:rsidRPr="007C2995" w:rsidRDefault="007C2995" w:rsidP="007C2995">
      <w:pPr>
        <w:pStyle w:val="Notedebasdepage"/>
        <w:bidi/>
        <w:jc w:val="both"/>
        <w:rPr>
          <w:rtl/>
        </w:rPr>
      </w:pPr>
    </w:p>
  </w:footnote>
  <w:footnote w:id="14">
    <w:p w14:paraId="1A948252" w14:textId="77777777" w:rsidR="00402EE9" w:rsidRPr="00464173" w:rsidRDefault="00402EE9" w:rsidP="00402EE9">
      <w:pPr>
        <w:pStyle w:val="Notedebasdepage"/>
        <w:bidi/>
        <w:ind w:left="283"/>
        <w:jc w:val="both"/>
        <w:rPr>
          <w:rFonts w:ascii="Arial" w:hAnsi="Arial" w:cs="Arial"/>
          <w:rtl/>
          <w:lang w:bidi="ar-TN"/>
        </w:rPr>
      </w:pPr>
      <w:r w:rsidRPr="00464173">
        <w:rPr>
          <w:rStyle w:val="Appelnotedebasdep"/>
          <w:rFonts w:ascii="Arial" w:hAnsi="Arial" w:cs="Arial"/>
        </w:rPr>
        <w:footnoteRef/>
      </w:r>
      <w:r w:rsidRPr="00464173">
        <w:rPr>
          <w:rFonts w:ascii="Arial" w:hAnsi="Arial" w:cs="Arial"/>
          <w:rtl/>
        </w:rPr>
        <w:t xml:space="preserve"> الفصل الأول – فقرة (ب) جديدة </w:t>
      </w:r>
      <w:proofErr w:type="spellStart"/>
      <w:r w:rsidRPr="00464173">
        <w:rPr>
          <w:rFonts w:ascii="Arial" w:hAnsi="Arial" w:cs="Arial"/>
          <w:rtl/>
        </w:rPr>
        <w:t>مطة</w:t>
      </w:r>
      <w:proofErr w:type="spellEnd"/>
      <w:r w:rsidRPr="00464173">
        <w:rPr>
          <w:rFonts w:ascii="Arial" w:hAnsi="Arial" w:cs="Arial"/>
          <w:rtl/>
        </w:rPr>
        <w:t xml:space="preserve"> ثالثة جديدة نقحت </w:t>
      </w:r>
      <w:hyperlink r:id="rId6" w:history="1">
        <w:r w:rsidRPr="007C2995">
          <w:rPr>
            <w:rStyle w:val="Lienhypertexte"/>
            <w:rFonts w:ascii="Arial" w:hAnsi="Arial" w:cs="Arial"/>
            <w:rtl/>
          </w:rPr>
          <w:t>بالأمر عدد 1251 لسنة 2003 المؤرخ في 2 جوان 2003</w:t>
        </w:r>
      </w:hyperlink>
      <w:r w:rsidRPr="00464173">
        <w:rPr>
          <w:rFonts w:ascii="Arial" w:hAnsi="Arial" w:cs="Arial"/>
          <w:rtl/>
        </w:rPr>
        <w:t>.</w:t>
      </w:r>
    </w:p>
  </w:footnote>
  <w:footnote w:id="15">
    <w:p w14:paraId="119B4F2C" w14:textId="77777777" w:rsidR="00507B2F" w:rsidRPr="00464173" w:rsidRDefault="00507B2F" w:rsidP="00464173">
      <w:pPr>
        <w:tabs>
          <w:tab w:val="left" w:pos="7650"/>
          <w:tab w:val="left" w:pos="7941"/>
        </w:tabs>
        <w:bidi/>
        <w:spacing w:after="0"/>
        <w:ind w:left="283"/>
        <w:rPr>
          <w:rFonts w:ascii="Arial" w:hAnsi="Arial" w:cs="Arial"/>
          <w:sz w:val="20"/>
          <w:szCs w:val="20"/>
          <w:rtl/>
        </w:rPr>
      </w:pPr>
      <w:r w:rsidRPr="00464173">
        <w:rPr>
          <w:rStyle w:val="Appelnotedebasdep"/>
          <w:rFonts w:ascii="Arial" w:hAnsi="Arial" w:cs="Arial"/>
          <w:sz w:val="20"/>
          <w:szCs w:val="20"/>
        </w:rPr>
        <w:footnoteRef/>
      </w:r>
      <w:r w:rsidRPr="00464173">
        <w:rPr>
          <w:rFonts w:ascii="Arial" w:hAnsi="Arial" w:cs="Arial"/>
          <w:sz w:val="20"/>
          <w:szCs w:val="20"/>
        </w:rPr>
        <w:t xml:space="preserve"> </w:t>
      </w:r>
      <w:r w:rsidRPr="00464173">
        <w:rPr>
          <w:rFonts w:ascii="Arial" w:hAnsi="Arial" w:cs="Arial"/>
          <w:sz w:val="20"/>
          <w:szCs w:val="20"/>
          <w:rtl/>
        </w:rPr>
        <w:t xml:space="preserve">الفصل الأول فقرة (ب) </w:t>
      </w:r>
      <w:proofErr w:type="spellStart"/>
      <w:r w:rsidRPr="00464173">
        <w:rPr>
          <w:rFonts w:ascii="Arial" w:hAnsi="Arial" w:cs="Arial"/>
          <w:sz w:val="20"/>
          <w:szCs w:val="20"/>
          <w:rtl/>
        </w:rPr>
        <w:t>مطة</w:t>
      </w:r>
      <w:proofErr w:type="spellEnd"/>
      <w:r w:rsidRPr="00464173">
        <w:rPr>
          <w:rFonts w:ascii="Arial" w:hAnsi="Arial" w:cs="Arial"/>
          <w:sz w:val="20"/>
          <w:szCs w:val="20"/>
          <w:rtl/>
        </w:rPr>
        <w:t xml:space="preserve"> أخيرة جديدة أضيفت بالأمر عدد 1380 لسنة 2006 المؤرخ في 22 ماي 2006</w:t>
      </w:r>
      <w:r w:rsidR="00464173" w:rsidRPr="00464173">
        <w:rPr>
          <w:rFonts w:ascii="Arial" w:hAnsi="Arial" w:cs="Arial"/>
          <w:sz w:val="20"/>
          <w:szCs w:val="20"/>
          <w:rtl/>
        </w:rPr>
        <w:t>.</w:t>
      </w:r>
    </w:p>
  </w:footnote>
  <w:footnote w:id="16">
    <w:p w14:paraId="0E3903C9" w14:textId="77777777" w:rsidR="00507B2F" w:rsidRDefault="00507B2F" w:rsidP="00464173">
      <w:pPr>
        <w:pStyle w:val="Notedebasdepage"/>
        <w:bidi/>
        <w:ind w:left="283"/>
        <w:rPr>
          <w:rtl/>
          <w:lang w:bidi="ar-TN"/>
        </w:rPr>
      </w:pPr>
      <w:r w:rsidRPr="00464173">
        <w:rPr>
          <w:rStyle w:val="Appelnotedebasdep"/>
          <w:rFonts w:ascii="Arial" w:hAnsi="Arial" w:cs="Arial"/>
        </w:rPr>
        <w:footnoteRef/>
      </w:r>
      <w:r w:rsidRPr="00464173">
        <w:rPr>
          <w:rFonts w:ascii="Arial" w:hAnsi="Arial" w:cs="Arial"/>
          <w:rtl/>
        </w:rPr>
        <w:t>الفصل الأول فقرة (ج)</w:t>
      </w:r>
      <w:r w:rsidR="00652628">
        <w:rPr>
          <w:rFonts w:ascii="Arial" w:hAnsi="Arial" w:cs="Arial" w:hint="cs"/>
          <w:rtl/>
        </w:rPr>
        <w:t xml:space="preserve"> </w:t>
      </w:r>
      <w:r w:rsidRPr="00464173">
        <w:rPr>
          <w:rFonts w:ascii="Arial" w:hAnsi="Arial" w:cs="Arial"/>
          <w:rtl/>
        </w:rPr>
        <w:t>جديدة</w:t>
      </w:r>
      <w:r w:rsidRPr="00A95B84">
        <w:rPr>
          <w:rFonts w:ascii="Arial" w:hAnsi="Arial" w:cs="Arial" w:hint="cs"/>
          <w:rtl/>
        </w:rPr>
        <w:t xml:space="preserve"> نقحت بالأمر عدد 1011 لسنة 1996 المؤرخ في 27 ماي 1996.</w:t>
      </w:r>
    </w:p>
  </w:footnote>
  <w:footnote w:id="17">
    <w:p w14:paraId="3C52DD5C" w14:textId="77777777" w:rsidR="00507B2F" w:rsidRPr="000B0780" w:rsidRDefault="00507B2F" w:rsidP="000B0780">
      <w:pPr>
        <w:pStyle w:val="Notedebasdepage"/>
        <w:bidi/>
        <w:ind w:left="283"/>
        <w:rPr>
          <w:rFonts w:ascii="Arial" w:hAnsi="Arial" w:cs="Arial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 w:rsidRPr="000B0780">
        <w:rPr>
          <w:rFonts w:ascii="Arial" w:hAnsi="Arial" w:cs="Arial"/>
          <w:rtl/>
        </w:rPr>
        <w:t>الفصل الأول فقرة (ج)</w:t>
      </w:r>
      <w:proofErr w:type="gramStart"/>
      <w:r w:rsidRPr="000B0780">
        <w:rPr>
          <w:rFonts w:ascii="Arial" w:hAnsi="Arial" w:cs="Arial"/>
          <w:rtl/>
        </w:rPr>
        <w:t>جديدة</w:t>
      </w:r>
      <w:r w:rsidR="00464173" w:rsidRPr="000B0780">
        <w:rPr>
          <w:rFonts w:ascii="Arial" w:hAnsi="Arial" w:cs="Arial"/>
          <w:rtl/>
        </w:rPr>
        <w:t xml:space="preserve">  </w:t>
      </w:r>
      <w:proofErr w:type="spellStart"/>
      <w:r w:rsidR="00464173" w:rsidRPr="000B0780">
        <w:rPr>
          <w:rFonts w:ascii="Arial" w:hAnsi="Arial" w:cs="Arial"/>
          <w:rtl/>
        </w:rPr>
        <w:t>مطة</w:t>
      </w:r>
      <w:proofErr w:type="spellEnd"/>
      <w:proofErr w:type="gramEnd"/>
      <w:r w:rsidR="00464173" w:rsidRPr="000B0780">
        <w:rPr>
          <w:rFonts w:ascii="Arial" w:hAnsi="Arial" w:cs="Arial"/>
          <w:rtl/>
        </w:rPr>
        <w:t xml:space="preserve"> 5 جديدة نقحت بالأمر عدد 1380 لسنة 2006 المؤرخ في 22 ماي 2006.</w:t>
      </w:r>
    </w:p>
  </w:footnote>
  <w:footnote w:id="18">
    <w:p w14:paraId="5202D3C2" w14:textId="77777777" w:rsidR="002979E5" w:rsidRPr="002979E5" w:rsidRDefault="002979E5" w:rsidP="002979E5">
      <w:pPr>
        <w:pStyle w:val="Notedebasdepage"/>
        <w:bidi/>
        <w:ind w:left="283"/>
        <w:rPr>
          <w:rtl/>
          <w:lang w:bidi="ar-TN"/>
        </w:rPr>
      </w:pPr>
      <w:r>
        <w:rPr>
          <w:rStyle w:val="Appelnotedebasdep"/>
        </w:rPr>
        <w:footnoteRef/>
      </w:r>
      <w:r w:rsidRPr="00A95B84">
        <w:rPr>
          <w:rFonts w:ascii="Arial" w:hAnsi="Arial" w:cs="Arial"/>
          <w:rtl/>
        </w:rPr>
        <w:t xml:space="preserve">الفصل الأول فقرة (ج) </w:t>
      </w:r>
      <w:proofErr w:type="spellStart"/>
      <w:r w:rsidRPr="00A95B84">
        <w:rPr>
          <w:rFonts w:ascii="Arial" w:hAnsi="Arial" w:cs="Arial"/>
          <w:rtl/>
        </w:rPr>
        <w:t>مطة</w:t>
      </w:r>
      <w:proofErr w:type="spellEnd"/>
      <w:r w:rsidRPr="00A95B84">
        <w:rPr>
          <w:rFonts w:ascii="Arial" w:hAnsi="Arial" w:cs="Arial"/>
          <w:rtl/>
        </w:rPr>
        <w:t xml:space="preserve"> 6 جديدة</w:t>
      </w:r>
      <w:r>
        <w:rPr>
          <w:rFonts w:hint="cs"/>
          <w:rtl/>
        </w:rPr>
        <w:t xml:space="preserve"> </w:t>
      </w:r>
      <w:r w:rsidRPr="00A95B84">
        <w:rPr>
          <w:rFonts w:ascii="Arial" w:hAnsi="Arial" w:cs="Arial"/>
          <w:rtl/>
        </w:rPr>
        <w:t xml:space="preserve">نقحت </w:t>
      </w:r>
      <w:hyperlink r:id="rId7" w:history="1">
        <w:r w:rsidRPr="00A95B84">
          <w:rPr>
            <w:rStyle w:val="Lienhypertexte"/>
            <w:rFonts w:ascii="Arial" w:hAnsi="Arial" w:cs="Arial"/>
            <w:rtl/>
          </w:rPr>
          <w:t>بالأمر الحكومي عدد 220 لسنة 2019 المؤرخ في 6 مارس 2019</w:t>
        </w:r>
      </w:hyperlink>
      <w:r w:rsidRPr="002979E5">
        <w:rPr>
          <w:rFonts w:cs="Arial"/>
          <w:rtl/>
        </w:rPr>
        <w:t xml:space="preserve"> </w:t>
      </w:r>
    </w:p>
  </w:footnote>
  <w:footnote w:id="19">
    <w:p w14:paraId="46E3269C" w14:textId="6595CB81" w:rsidR="007C2995" w:rsidRPr="007C2995" w:rsidRDefault="007C2995" w:rsidP="007C2995">
      <w:pPr>
        <w:pStyle w:val="Notedebasdepage"/>
        <w:bidi/>
        <w:ind w:firstLine="280"/>
        <w:jc w:val="both"/>
        <w:rPr>
          <w:rFonts w:ascii="Arial" w:hAnsi="Arial" w:cs="Arial"/>
          <w:rtl/>
        </w:rPr>
      </w:pPr>
      <w:r>
        <w:rPr>
          <w:rStyle w:val="Appelnotedebasdep"/>
        </w:rPr>
        <w:footnoteRef/>
      </w:r>
      <w:r>
        <w:t xml:space="preserve"> </w:t>
      </w:r>
      <w:r w:rsidRPr="007C2995">
        <w:rPr>
          <w:rFonts w:ascii="Arial" w:hAnsi="Arial" w:cs="Arial" w:hint="cs"/>
          <w:rtl/>
        </w:rPr>
        <w:t>الفصل</w:t>
      </w:r>
      <w:r w:rsidRPr="007C2995">
        <w:rPr>
          <w:rFonts w:ascii="Arial" w:hAnsi="Arial" w:cs="Arial"/>
          <w:rtl/>
        </w:rPr>
        <w:t xml:space="preserve"> </w:t>
      </w:r>
      <w:r w:rsidRPr="007C2995">
        <w:rPr>
          <w:rFonts w:ascii="Arial" w:hAnsi="Arial" w:cs="Arial" w:hint="cs"/>
          <w:rtl/>
        </w:rPr>
        <w:t>الأول</w:t>
      </w:r>
      <w:r w:rsidRPr="007C2995">
        <w:rPr>
          <w:rFonts w:ascii="Arial" w:hAnsi="Arial" w:cs="Arial"/>
          <w:rtl/>
        </w:rPr>
        <w:t xml:space="preserve"> </w:t>
      </w:r>
      <w:r w:rsidRPr="007C2995">
        <w:rPr>
          <w:rFonts w:ascii="Arial" w:hAnsi="Arial" w:cs="Arial" w:hint="cs"/>
          <w:rtl/>
        </w:rPr>
        <w:t>الفقرة</w:t>
      </w:r>
      <w:r w:rsidRPr="007C2995">
        <w:rPr>
          <w:rFonts w:ascii="Arial" w:hAnsi="Arial" w:cs="Arial"/>
          <w:rtl/>
        </w:rPr>
        <w:t xml:space="preserve"> (</w:t>
      </w:r>
      <w:r w:rsidRPr="007C2995">
        <w:rPr>
          <w:rFonts w:ascii="Arial" w:hAnsi="Arial" w:cs="Arial" w:hint="cs"/>
          <w:rtl/>
        </w:rPr>
        <w:t>ج</w:t>
      </w:r>
      <w:r w:rsidRPr="007C2995">
        <w:rPr>
          <w:rFonts w:ascii="Arial" w:hAnsi="Arial" w:cs="Arial"/>
          <w:rtl/>
        </w:rPr>
        <w:t xml:space="preserve">) </w:t>
      </w:r>
      <w:proofErr w:type="spellStart"/>
      <w:r w:rsidRPr="007C2995">
        <w:rPr>
          <w:rFonts w:ascii="Arial" w:hAnsi="Arial" w:cs="Arial" w:hint="cs"/>
          <w:rtl/>
        </w:rPr>
        <w:t>مطة</w:t>
      </w:r>
      <w:proofErr w:type="spellEnd"/>
      <w:r w:rsidRPr="007C2995">
        <w:rPr>
          <w:rFonts w:ascii="Arial" w:hAnsi="Arial" w:cs="Arial"/>
          <w:rtl/>
        </w:rPr>
        <w:t xml:space="preserve"> </w:t>
      </w:r>
      <w:r w:rsidRPr="007C2995">
        <w:rPr>
          <w:rFonts w:ascii="Arial" w:hAnsi="Arial" w:cs="Arial" w:hint="cs"/>
          <w:rtl/>
        </w:rPr>
        <w:t>سابعة</w:t>
      </w:r>
      <w:r w:rsidRPr="007C2995">
        <w:rPr>
          <w:rFonts w:ascii="Arial" w:hAnsi="Arial" w:cs="Arial"/>
          <w:rtl/>
        </w:rPr>
        <w:t xml:space="preserve"> </w:t>
      </w:r>
      <w:r w:rsidRPr="007C2995">
        <w:rPr>
          <w:rFonts w:ascii="Arial" w:hAnsi="Arial" w:cs="Arial" w:hint="cs"/>
          <w:rtl/>
        </w:rPr>
        <w:t>جديدة أضيفت بمقتضى الفصل 5 من الأمر الحكومي عدد 1163 لسنة 2019 المؤرخ في 25 ديسمبر 2019.</w:t>
      </w:r>
    </w:p>
  </w:footnote>
  <w:footnote w:id="20">
    <w:p w14:paraId="5182A24D" w14:textId="087D7D35" w:rsidR="00464173" w:rsidRPr="000B0780" w:rsidRDefault="00464173" w:rsidP="000B0780">
      <w:pPr>
        <w:pStyle w:val="Notedebasdepage"/>
        <w:bidi/>
        <w:ind w:left="283"/>
        <w:rPr>
          <w:rFonts w:ascii="Arial" w:hAnsi="Arial" w:cs="Arial"/>
          <w:rtl/>
          <w:lang w:bidi="ar-TN"/>
        </w:rPr>
      </w:pPr>
      <w:r w:rsidRPr="000B0780">
        <w:rPr>
          <w:rStyle w:val="Appelnotedebasdep"/>
          <w:rFonts w:ascii="Arial" w:hAnsi="Arial" w:cs="Arial"/>
        </w:rPr>
        <w:footnoteRef/>
      </w:r>
      <w:r w:rsidRPr="000B0780">
        <w:rPr>
          <w:rFonts w:ascii="Arial" w:hAnsi="Arial" w:cs="Arial"/>
          <w:rtl/>
        </w:rPr>
        <w:t>الفصل الأول فقرة (ج)</w:t>
      </w:r>
      <w:r w:rsidR="00A95B84">
        <w:rPr>
          <w:rFonts w:ascii="Arial" w:hAnsi="Arial" w:cs="Arial" w:hint="cs"/>
          <w:rtl/>
        </w:rPr>
        <w:t xml:space="preserve"> </w:t>
      </w:r>
      <w:r w:rsidRPr="000B0780">
        <w:rPr>
          <w:rFonts w:ascii="Arial" w:hAnsi="Arial" w:cs="Arial"/>
          <w:rtl/>
        </w:rPr>
        <w:t>جديدة</w:t>
      </w:r>
      <w:r w:rsidR="00652628">
        <w:rPr>
          <w:rFonts w:ascii="Arial" w:hAnsi="Arial" w:cs="Arial" w:hint="cs"/>
          <w:rtl/>
        </w:rPr>
        <w:t xml:space="preserve"> </w:t>
      </w:r>
      <w:proofErr w:type="spellStart"/>
      <w:r w:rsidRPr="000B0780">
        <w:rPr>
          <w:rFonts w:ascii="Arial" w:hAnsi="Arial" w:cs="Arial"/>
          <w:rtl/>
        </w:rPr>
        <w:t>مطة</w:t>
      </w:r>
      <w:proofErr w:type="spellEnd"/>
      <w:r w:rsidRPr="000B0780">
        <w:rPr>
          <w:rFonts w:ascii="Arial" w:hAnsi="Arial" w:cs="Arial"/>
          <w:rtl/>
        </w:rPr>
        <w:t xml:space="preserve"> أخيرة جديدة أضيفت </w:t>
      </w:r>
      <w:hyperlink r:id="rId8" w:history="1">
        <w:r w:rsidRPr="00A95B84">
          <w:rPr>
            <w:rStyle w:val="Lienhypertexte"/>
            <w:rFonts w:ascii="Arial" w:hAnsi="Arial" w:cs="Arial"/>
            <w:rtl/>
          </w:rPr>
          <w:t>بالأمر عدد 2196 لسنة 2009 المؤرخ في 20 جويلية 2009</w:t>
        </w:r>
      </w:hyperlink>
      <w:r w:rsidRPr="000B0780">
        <w:rPr>
          <w:rFonts w:ascii="Arial" w:hAnsi="Arial" w:cs="Arial"/>
          <w:rtl/>
        </w:rPr>
        <w:t xml:space="preserve">.  </w:t>
      </w:r>
      <w:r w:rsidRPr="000B0780">
        <w:rPr>
          <w:rFonts w:ascii="Arial" w:hAnsi="Arial" w:cs="Arial"/>
        </w:rPr>
        <w:t xml:space="preserve"> </w:t>
      </w:r>
    </w:p>
  </w:footnote>
  <w:footnote w:id="21">
    <w:p w14:paraId="1B99423C" w14:textId="0987533B" w:rsidR="00464173" w:rsidRDefault="00464173" w:rsidP="000B0780">
      <w:pPr>
        <w:pStyle w:val="Notedebasdepage"/>
        <w:bidi/>
        <w:ind w:left="283"/>
        <w:rPr>
          <w:rtl/>
          <w:lang w:bidi="ar-TN"/>
        </w:rPr>
      </w:pPr>
      <w:r w:rsidRPr="000B0780">
        <w:rPr>
          <w:rStyle w:val="Appelnotedebasdep"/>
          <w:rFonts w:ascii="Arial" w:hAnsi="Arial" w:cs="Arial"/>
        </w:rPr>
        <w:footnoteRef/>
      </w:r>
      <w:r w:rsidRPr="000B0780">
        <w:rPr>
          <w:rFonts w:ascii="Arial" w:hAnsi="Arial" w:cs="Arial"/>
        </w:rPr>
        <w:t xml:space="preserve"> </w:t>
      </w:r>
      <w:r w:rsidRPr="000B0780">
        <w:rPr>
          <w:rFonts w:ascii="Arial" w:hAnsi="Arial" w:cs="Arial"/>
          <w:rtl/>
        </w:rPr>
        <w:t>الف</w:t>
      </w:r>
      <w:r w:rsidRPr="00A95B84">
        <w:rPr>
          <w:rFonts w:ascii="Arial" w:hAnsi="Arial" w:cs="Arial" w:hint="cs"/>
          <w:rtl/>
        </w:rPr>
        <w:t xml:space="preserve">صل 2 </w:t>
      </w:r>
      <w:r w:rsidRPr="00A95B84">
        <w:rPr>
          <w:rFonts w:ascii="Arial" w:hAnsi="Arial" w:cs="Arial"/>
          <w:rtl/>
        </w:rPr>
        <w:t>–</w:t>
      </w:r>
      <w:r w:rsidRPr="00A95B84">
        <w:rPr>
          <w:rFonts w:ascii="Arial" w:hAnsi="Arial" w:cs="Arial" w:hint="cs"/>
          <w:rtl/>
        </w:rPr>
        <w:t xml:space="preserve"> </w:t>
      </w:r>
      <w:proofErr w:type="spellStart"/>
      <w:r w:rsidRPr="00A95B84">
        <w:rPr>
          <w:rFonts w:ascii="Arial" w:hAnsi="Arial" w:cs="Arial" w:hint="cs"/>
          <w:rtl/>
        </w:rPr>
        <w:t>مطة</w:t>
      </w:r>
      <w:proofErr w:type="spellEnd"/>
      <w:r w:rsidRPr="00A95B84">
        <w:rPr>
          <w:rFonts w:ascii="Arial" w:hAnsi="Arial" w:cs="Arial" w:hint="cs"/>
          <w:rtl/>
        </w:rPr>
        <w:t xml:space="preserve"> ثانية نقحت </w:t>
      </w:r>
      <w:hyperlink r:id="rId9" w:history="1">
        <w:r w:rsidRPr="00A95B84">
          <w:rPr>
            <w:rStyle w:val="Lienhypertexte"/>
            <w:rFonts w:ascii="Arial" w:hAnsi="Arial" w:cs="Arial" w:hint="cs"/>
            <w:rtl/>
          </w:rPr>
          <w:t>بالأمر عدد 2208 لسنة 2004 المؤرخ في 18 سبتمبر 2004.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CA1A" w14:textId="77777777"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483CF68" wp14:editId="4FB87DE8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C2FECD" wp14:editId="1AB5F04B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330CBC" w14:textId="77777777" w:rsidR="00FA3A74" w:rsidRDefault="00FA3A7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D7C6CA1" w14:textId="77777777" w:rsidR="00FA3A74" w:rsidRPr="005F7BF4" w:rsidRDefault="00FA3A7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9601847" w14:textId="77777777" w:rsidR="00FA3A74" w:rsidRPr="005F7BF4" w:rsidRDefault="00FA3A7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2FECD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C330CBC" w14:textId="77777777" w:rsidR="00FA3A74" w:rsidRDefault="00FA3A7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D7C6CA1" w14:textId="77777777" w:rsidR="00FA3A74" w:rsidRPr="005F7BF4" w:rsidRDefault="00FA3A7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9601847" w14:textId="77777777" w:rsidR="00FA3A74" w:rsidRPr="005F7BF4" w:rsidRDefault="00FA3A7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3484" w14:textId="77777777"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0D01D6D" wp14:editId="5B05B09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39FF1" wp14:editId="172B9E4B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DB5AC0" w14:textId="77777777" w:rsidR="00FA3A74" w:rsidRDefault="00FA3A7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6C3529E0" w14:textId="77777777" w:rsidR="00FA3A74" w:rsidRPr="00696C4B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4E946412" w14:textId="77777777" w:rsidR="00FA3A74" w:rsidRPr="00317C84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2DCFDD62" w14:textId="77777777" w:rsidR="00FA3A74" w:rsidRDefault="00FA3A7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39FF1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1ADB5AC0" w14:textId="77777777" w:rsidR="00FA3A74" w:rsidRDefault="00FA3A7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6C3529E0" w14:textId="77777777" w:rsidR="00FA3A74" w:rsidRPr="00696C4B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4E946412" w14:textId="77777777" w:rsidR="00FA3A74" w:rsidRPr="00317C84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2DCFDD62" w14:textId="77777777" w:rsidR="00FA3A74" w:rsidRDefault="00FA3A7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9C7"/>
    <w:multiLevelType w:val="hybridMultilevel"/>
    <w:tmpl w:val="497EC04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02FAA"/>
    <w:multiLevelType w:val="hybridMultilevel"/>
    <w:tmpl w:val="7EBEB3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111C1D03"/>
    <w:multiLevelType w:val="hybridMultilevel"/>
    <w:tmpl w:val="872E74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971CAF"/>
    <w:multiLevelType w:val="hybridMultilevel"/>
    <w:tmpl w:val="46C45A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6" w15:restartNumberingAfterBreak="0">
    <w:nsid w:val="151E4233"/>
    <w:multiLevelType w:val="hybridMultilevel"/>
    <w:tmpl w:val="AF9C8D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26EE6"/>
    <w:multiLevelType w:val="hybridMultilevel"/>
    <w:tmpl w:val="88406A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C355BF"/>
    <w:multiLevelType w:val="hybridMultilevel"/>
    <w:tmpl w:val="8B3C2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7D04DEB"/>
    <w:multiLevelType w:val="hybridMultilevel"/>
    <w:tmpl w:val="EFCC04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471F3"/>
    <w:multiLevelType w:val="hybridMultilevel"/>
    <w:tmpl w:val="2C0A062C"/>
    <w:lvl w:ilvl="0" w:tplc="694E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C34252"/>
    <w:multiLevelType w:val="hybridMultilevel"/>
    <w:tmpl w:val="2AF426E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7CAEB6C">
      <w:start w:val="1"/>
      <w:numFmt w:val="decimal"/>
      <w:lvlText w:val="%2-"/>
      <w:lvlJc w:val="left"/>
      <w:pPr>
        <w:ind w:left="1799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C5147D"/>
    <w:multiLevelType w:val="hybridMultilevel"/>
    <w:tmpl w:val="6E5400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247270"/>
    <w:multiLevelType w:val="hybridMultilevel"/>
    <w:tmpl w:val="E2C0A6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9C1A49"/>
    <w:multiLevelType w:val="hybridMultilevel"/>
    <w:tmpl w:val="1AF0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C15"/>
    <w:multiLevelType w:val="hybridMultilevel"/>
    <w:tmpl w:val="EC60A6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830FC5"/>
    <w:multiLevelType w:val="hybridMultilevel"/>
    <w:tmpl w:val="54BAEE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9115C6"/>
    <w:multiLevelType w:val="hybridMultilevel"/>
    <w:tmpl w:val="12B64D26"/>
    <w:lvl w:ilvl="0" w:tplc="276EEA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066B66"/>
    <w:multiLevelType w:val="hybridMultilevel"/>
    <w:tmpl w:val="06AA02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6D4F20"/>
    <w:multiLevelType w:val="hybridMultilevel"/>
    <w:tmpl w:val="99C484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D1405F"/>
    <w:multiLevelType w:val="hybridMultilevel"/>
    <w:tmpl w:val="608678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FD37FD9"/>
    <w:multiLevelType w:val="hybridMultilevel"/>
    <w:tmpl w:val="5F3A8E3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3" w15:restartNumberingAfterBreak="0">
    <w:nsid w:val="37991D2E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 w15:restartNumberingAfterBreak="0">
    <w:nsid w:val="3C362A12"/>
    <w:multiLevelType w:val="hybridMultilevel"/>
    <w:tmpl w:val="6A2A2B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EB30D75"/>
    <w:multiLevelType w:val="hybridMultilevel"/>
    <w:tmpl w:val="CDE0B1F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09CB"/>
    <w:multiLevelType w:val="hybridMultilevel"/>
    <w:tmpl w:val="CFA4713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 w15:restartNumberingAfterBreak="0">
    <w:nsid w:val="4334723D"/>
    <w:multiLevelType w:val="hybridMultilevel"/>
    <w:tmpl w:val="B8AC27A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D70A7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 w15:restartNumberingAfterBreak="0">
    <w:nsid w:val="4A6F3817"/>
    <w:multiLevelType w:val="multilevel"/>
    <w:tmpl w:val="0DF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862B64"/>
    <w:multiLevelType w:val="hybridMultilevel"/>
    <w:tmpl w:val="A2E4A1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BC12C2"/>
    <w:multiLevelType w:val="hybridMultilevel"/>
    <w:tmpl w:val="7D941C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F85B1C"/>
    <w:multiLevelType w:val="hybridMultilevel"/>
    <w:tmpl w:val="02001B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6FC3C99"/>
    <w:multiLevelType w:val="hybridMultilevel"/>
    <w:tmpl w:val="E96EB8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72D18DE"/>
    <w:multiLevelType w:val="hybridMultilevel"/>
    <w:tmpl w:val="68748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650B16"/>
    <w:multiLevelType w:val="hybridMultilevel"/>
    <w:tmpl w:val="123843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7" w15:restartNumberingAfterBreak="0">
    <w:nsid w:val="5E17543C"/>
    <w:multiLevelType w:val="hybridMultilevel"/>
    <w:tmpl w:val="72C204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5B21C2E"/>
    <w:multiLevelType w:val="hybridMultilevel"/>
    <w:tmpl w:val="85D273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F70F55"/>
    <w:multiLevelType w:val="hybridMultilevel"/>
    <w:tmpl w:val="626EA07C"/>
    <w:lvl w:ilvl="0" w:tplc="C1FEE922">
      <w:start w:val="1"/>
      <w:numFmt w:val="arabicAlpha"/>
      <w:lvlText w:val="%1)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9147751"/>
    <w:multiLevelType w:val="hybridMultilevel"/>
    <w:tmpl w:val="3E0CB3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F227B2"/>
    <w:multiLevelType w:val="hybridMultilevel"/>
    <w:tmpl w:val="20A6F7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3" w15:restartNumberingAfterBreak="0">
    <w:nsid w:val="6E0B76B9"/>
    <w:multiLevelType w:val="hybridMultilevel"/>
    <w:tmpl w:val="F7AC3C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E2262FB"/>
    <w:multiLevelType w:val="hybridMultilevel"/>
    <w:tmpl w:val="13980F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4360A9D"/>
    <w:multiLevelType w:val="hybridMultilevel"/>
    <w:tmpl w:val="AFDABC0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FC74D1"/>
    <w:multiLevelType w:val="hybridMultilevel"/>
    <w:tmpl w:val="6D98C72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8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9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50" w15:restartNumberingAfterBreak="0">
    <w:nsid w:val="7C201BD3"/>
    <w:multiLevelType w:val="hybridMultilevel"/>
    <w:tmpl w:val="37F0666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1" w15:restartNumberingAfterBreak="0">
    <w:nsid w:val="7C8F4B59"/>
    <w:multiLevelType w:val="hybridMultilevel"/>
    <w:tmpl w:val="B562094A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2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3" w15:restartNumberingAfterBreak="0">
    <w:nsid w:val="7E584FF5"/>
    <w:multiLevelType w:val="hybridMultilevel"/>
    <w:tmpl w:val="4A32B7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2"/>
  </w:num>
  <w:num w:numId="4">
    <w:abstractNumId w:val="47"/>
  </w:num>
  <w:num w:numId="5">
    <w:abstractNumId w:val="52"/>
  </w:num>
  <w:num w:numId="6">
    <w:abstractNumId w:val="5"/>
  </w:num>
  <w:num w:numId="7">
    <w:abstractNumId w:val="36"/>
  </w:num>
  <w:num w:numId="8">
    <w:abstractNumId w:val="22"/>
  </w:num>
  <w:num w:numId="9">
    <w:abstractNumId w:val="49"/>
  </w:num>
  <w:num w:numId="10">
    <w:abstractNumId w:val="33"/>
  </w:num>
  <w:num w:numId="11">
    <w:abstractNumId w:val="8"/>
  </w:num>
  <w:num w:numId="12">
    <w:abstractNumId w:val="24"/>
  </w:num>
  <w:num w:numId="13">
    <w:abstractNumId w:val="19"/>
  </w:num>
  <w:num w:numId="14">
    <w:abstractNumId w:val="21"/>
  </w:num>
  <w:num w:numId="15">
    <w:abstractNumId w:val="34"/>
  </w:num>
  <w:num w:numId="16">
    <w:abstractNumId w:val="11"/>
  </w:num>
  <w:num w:numId="17">
    <w:abstractNumId w:val="37"/>
  </w:num>
  <w:num w:numId="18">
    <w:abstractNumId w:val="43"/>
  </w:num>
  <w:num w:numId="19">
    <w:abstractNumId w:val="6"/>
  </w:num>
  <w:num w:numId="20">
    <w:abstractNumId w:val="53"/>
  </w:num>
  <w:num w:numId="21">
    <w:abstractNumId w:val="4"/>
  </w:num>
  <w:num w:numId="22">
    <w:abstractNumId w:val="7"/>
  </w:num>
  <w:num w:numId="23">
    <w:abstractNumId w:val="41"/>
  </w:num>
  <w:num w:numId="24">
    <w:abstractNumId w:val="9"/>
  </w:num>
  <w:num w:numId="25">
    <w:abstractNumId w:val="45"/>
  </w:num>
  <w:num w:numId="26">
    <w:abstractNumId w:val="38"/>
  </w:num>
  <w:num w:numId="27">
    <w:abstractNumId w:val="51"/>
  </w:num>
  <w:num w:numId="28">
    <w:abstractNumId w:val="32"/>
  </w:num>
  <w:num w:numId="29">
    <w:abstractNumId w:val="18"/>
  </w:num>
  <w:num w:numId="30">
    <w:abstractNumId w:val="26"/>
  </w:num>
  <w:num w:numId="31">
    <w:abstractNumId w:val="30"/>
  </w:num>
  <w:num w:numId="32">
    <w:abstractNumId w:val="16"/>
  </w:num>
  <w:num w:numId="33">
    <w:abstractNumId w:val="50"/>
  </w:num>
  <w:num w:numId="34">
    <w:abstractNumId w:val="44"/>
  </w:num>
  <w:num w:numId="35">
    <w:abstractNumId w:val="28"/>
  </w:num>
  <w:num w:numId="36">
    <w:abstractNumId w:val="3"/>
  </w:num>
  <w:num w:numId="37">
    <w:abstractNumId w:val="35"/>
  </w:num>
  <w:num w:numId="38">
    <w:abstractNumId w:val="10"/>
  </w:num>
  <w:num w:numId="39">
    <w:abstractNumId w:val="40"/>
  </w:num>
  <w:num w:numId="40">
    <w:abstractNumId w:val="12"/>
  </w:num>
  <w:num w:numId="41">
    <w:abstractNumId w:val="23"/>
  </w:num>
  <w:num w:numId="42">
    <w:abstractNumId w:val="20"/>
  </w:num>
  <w:num w:numId="43">
    <w:abstractNumId w:val="31"/>
  </w:num>
  <w:num w:numId="44">
    <w:abstractNumId w:val="46"/>
  </w:num>
  <w:num w:numId="45">
    <w:abstractNumId w:val="15"/>
  </w:num>
  <w:num w:numId="46">
    <w:abstractNumId w:val="1"/>
  </w:num>
  <w:num w:numId="47">
    <w:abstractNumId w:val="39"/>
  </w:num>
  <w:num w:numId="48">
    <w:abstractNumId w:val="17"/>
  </w:num>
  <w:num w:numId="49">
    <w:abstractNumId w:val="25"/>
  </w:num>
  <w:num w:numId="50">
    <w:abstractNumId w:val="27"/>
  </w:num>
  <w:num w:numId="51">
    <w:abstractNumId w:val="14"/>
  </w:num>
  <w:num w:numId="52">
    <w:abstractNumId w:val="13"/>
  </w:num>
  <w:num w:numId="53">
    <w:abstractNumId w:val="0"/>
  </w:num>
  <w:num w:numId="5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37311"/>
    <w:rsid w:val="00050397"/>
    <w:rsid w:val="00052372"/>
    <w:rsid w:val="00053739"/>
    <w:rsid w:val="00053C64"/>
    <w:rsid w:val="000551CD"/>
    <w:rsid w:val="0006269F"/>
    <w:rsid w:val="00072A9A"/>
    <w:rsid w:val="0007464C"/>
    <w:rsid w:val="00082EEA"/>
    <w:rsid w:val="00085159"/>
    <w:rsid w:val="000856EB"/>
    <w:rsid w:val="00092DE2"/>
    <w:rsid w:val="00094E16"/>
    <w:rsid w:val="00095334"/>
    <w:rsid w:val="000B0780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7608D"/>
    <w:rsid w:val="00194CE1"/>
    <w:rsid w:val="001A4BA4"/>
    <w:rsid w:val="001B10F2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24E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979E5"/>
    <w:rsid w:val="002A2B42"/>
    <w:rsid w:val="002A4E6D"/>
    <w:rsid w:val="002B0CC7"/>
    <w:rsid w:val="002B109A"/>
    <w:rsid w:val="002B19EE"/>
    <w:rsid w:val="002C1F0C"/>
    <w:rsid w:val="002C4FFB"/>
    <w:rsid w:val="002C639E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774E5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2EE9"/>
    <w:rsid w:val="004038CF"/>
    <w:rsid w:val="00407110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64173"/>
    <w:rsid w:val="00490A04"/>
    <w:rsid w:val="00490B6E"/>
    <w:rsid w:val="00494A96"/>
    <w:rsid w:val="00496D4E"/>
    <w:rsid w:val="004A4AC2"/>
    <w:rsid w:val="004A5CEA"/>
    <w:rsid w:val="004A6A14"/>
    <w:rsid w:val="004B2CDC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07B2F"/>
    <w:rsid w:val="005218A8"/>
    <w:rsid w:val="005219FA"/>
    <w:rsid w:val="0052231B"/>
    <w:rsid w:val="00526560"/>
    <w:rsid w:val="00530F5C"/>
    <w:rsid w:val="00531E0D"/>
    <w:rsid w:val="0053699B"/>
    <w:rsid w:val="00541B7E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C50CD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2628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482A"/>
    <w:rsid w:val="00796885"/>
    <w:rsid w:val="00797FA1"/>
    <w:rsid w:val="007A10F8"/>
    <w:rsid w:val="007A7245"/>
    <w:rsid w:val="007B0596"/>
    <w:rsid w:val="007B54B3"/>
    <w:rsid w:val="007C2995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11607"/>
    <w:rsid w:val="008250D4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3DB"/>
    <w:rsid w:val="008D59FA"/>
    <w:rsid w:val="008D73A6"/>
    <w:rsid w:val="008E0E3C"/>
    <w:rsid w:val="008F3F2D"/>
    <w:rsid w:val="008F5C06"/>
    <w:rsid w:val="0091720B"/>
    <w:rsid w:val="00923BD4"/>
    <w:rsid w:val="009248E7"/>
    <w:rsid w:val="00925024"/>
    <w:rsid w:val="009323B9"/>
    <w:rsid w:val="009347FC"/>
    <w:rsid w:val="00935F43"/>
    <w:rsid w:val="0094212D"/>
    <w:rsid w:val="00947C5D"/>
    <w:rsid w:val="00950E6A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95B84"/>
    <w:rsid w:val="00AA2B43"/>
    <w:rsid w:val="00AC41D7"/>
    <w:rsid w:val="00AC64BD"/>
    <w:rsid w:val="00AC6634"/>
    <w:rsid w:val="00AD0132"/>
    <w:rsid w:val="00AD2268"/>
    <w:rsid w:val="00AD2EDA"/>
    <w:rsid w:val="00AE007A"/>
    <w:rsid w:val="00AE3DB9"/>
    <w:rsid w:val="00AF2B4A"/>
    <w:rsid w:val="00AF3F2B"/>
    <w:rsid w:val="00B00038"/>
    <w:rsid w:val="00B03DA5"/>
    <w:rsid w:val="00B052BD"/>
    <w:rsid w:val="00B05438"/>
    <w:rsid w:val="00B11913"/>
    <w:rsid w:val="00B16488"/>
    <w:rsid w:val="00B20589"/>
    <w:rsid w:val="00B337AE"/>
    <w:rsid w:val="00B409E3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667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4EF1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CF2CE3"/>
    <w:rsid w:val="00D00D80"/>
    <w:rsid w:val="00D05069"/>
    <w:rsid w:val="00D07749"/>
    <w:rsid w:val="00D17590"/>
    <w:rsid w:val="00D20328"/>
    <w:rsid w:val="00D22AF0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176A"/>
    <w:rsid w:val="00EF4111"/>
    <w:rsid w:val="00F01DDB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0A6"/>
    <w:rsid w:val="00FA1890"/>
    <w:rsid w:val="00FA3A74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4296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979E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682" TargetMode="External"/><Relationship Id="rId3" Type="http://schemas.openxmlformats.org/officeDocument/2006/relationships/hyperlink" Target="https://legislation-securite.tn/ar/node/44694" TargetMode="External"/><Relationship Id="rId7" Type="http://schemas.openxmlformats.org/officeDocument/2006/relationships/hyperlink" Target="https://legislation-securite.tn/ar/node/104518" TargetMode="External"/><Relationship Id="rId2" Type="http://schemas.openxmlformats.org/officeDocument/2006/relationships/hyperlink" Target="https://legislation-securite.tn/law/45480" TargetMode="External"/><Relationship Id="rId1" Type="http://schemas.openxmlformats.org/officeDocument/2006/relationships/hyperlink" Target="https://legislation-securite.tn/ar/node/44704" TargetMode="External"/><Relationship Id="rId6" Type="http://schemas.openxmlformats.org/officeDocument/2006/relationships/hyperlink" Target="https://legislation-securite.tn/ar/node/44692" TargetMode="External"/><Relationship Id="rId5" Type="http://schemas.openxmlformats.org/officeDocument/2006/relationships/hyperlink" Target="https://legislation-securite.tn/ar/node/45340" TargetMode="External"/><Relationship Id="rId4" Type="http://schemas.openxmlformats.org/officeDocument/2006/relationships/hyperlink" Target="https://legislation-securite.tn/ar/node/104699" TargetMode="External"/><Relationship Id="rId9" Type="http://schemas.openxmlformats.org/officeDocument/2006/relationships/hyperlink" Target="https://legislation-securite.tn/ar/node/446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4052-2871-45D9-8D4C-80450A03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Boujeh Wided</cp:lastModifiedBy>
  <cp:revision>2</cp:revision>
  <cp:lastPrinted>2016-10-12T11:21:00Z</cp:lastPrinted>
  <dcterms:created xsi:type="dcterms:W3CDTF">2021-08-15T22:05:00Z</dcterms:created>
  <dcterms:modified xsi:type="dcterms:W3CDTF">2021-08-15T22:05:00Z</dcterms:modified>
</cp:coreProperties>
</file>