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FE88A7" w14:textId="77777777" w:rsidR="003754CB" w:rsidRDefault="003754CB" w:rsidP="00EA642E">
      <w:pPr>
        <w:bidi/>
        <w:spacing w:after="0" w:line="240" w:lineRule="auto"/>
        <w:ind w:left="283"/>
        <w:jc w:val="both"/>
        <w:rPr>
          <w:rFonts w:ascii="Arial" w:hAnsi="Arial" w:cs="Arial" w:hint="cs"/>
          <w:b/>
          <w:bCs/>
          <w:rtl/>
          <w:lang w:bidi="ar-TN"/>
        </w:rPr>
      </w:pPr>
    </w:p>
    <w:p w14:paraId="5CF1E69A" w14:textId="0B33D96D" w:rsidR="00607AD1" w:rsidRDefault="00EA642E" w:rsidP="003754CB">
      <w:pPr>
        <w:bidi/>
        <w:spacing w:after="0" w:line="240" w:lineRule="auto"/>
        <w:ind w:left="283"/>
        <w:jc w:val="both"/>
        <w:rPr>
          <w:rFonts w:ascii="Arial" w:hAnsi="Arial" w:cs="Arial"/>
          <w:b/>
          <w:bCs/>
          <w:rtl/>
          <w:lang w:bidi="ar-TN"/>
        </w:rPr>
      </w:pPr>
      <w:proofErr w:type="gramStart"/>
      <w:r w:rsidRPr="00EB567D">
        <w:rPr>
          <w:rFonts w:ascii="Arial" w:hAnsi="Arial" w:cs="Arial" w:hint="cs"/>
          <w:b/>
          <w:bCs/>
          <w:sz w:val="24"/>
          <w:szCs w:val="24"/>
          <w:rtl/>
          <w:lang w:bidi="ar-TN"/>
        </w:rPr>
        <w:t>منشور</w:t>
      </w:r>
      <w:proofErr w:type="gramEnd"/>
      <w:r w:rsidRPr="00EB567D">
        <w:rPr>
          <w:rFonts w:ascii="Arial" w:hAnsi="Arial" w:cs="Arial" w:hint="cs"/>
          <w:b/>
          <w:bCs/>
          <w:sz w:val="24"/>
          <w:szCs w:val="24"/>
          <w:rtl/>
          <w:lang w:bidi="ar-TN"/>
        </w:rPr>
        <w:t xml:space="preserve"> عدد 4 لسنة 2013 مؤرخ في 1 فيفري 2013 حول التصرف في التجهيزات الإعلامية التي زال الانتفاع بها من قبل الهياك</w:t>
      </w:r>
      <w:r w:rsidR="00EB567D">
        <w:rPr>
          <w:rFonts w:ascii="Arial" w:hAnsi="Arial" w:cs="Arial" w:hint="cs"/>
          <w:b/>
          <w:bCs/>
          <w:sz w:val="24"/>
          <w:szCs w:val="24"/>
          <w:rtl/>
          <w:lang w:bidi="ar-TN"/>
        </w:rPr>
        <w:t>ل العمومية والمزمع التفويت فيها</w:t>
      </w:r>
    </w:p>
    <w:p w14:paraId="0EE26196" w14:textId="77777777" w:rsidR="00EA642E" w:rsidRDefault="00EA642E" w:rsidP="003754CB">
      <w:pPr>
        <w:bidi/>
        <w:spacing w:after="0" w:line="240" w:lineRule="auto"/>
        <w:ind w:left="283"/>
        <w:jc w:val="both"/>
        <w:rPr>
          <w:rFonts w:ascii="Arial" w:hAnsi="Arial" w:cs="Arial"/>
          <w:b/>
          <w:bCs/>
          <w:rtl/>
          <w:lang w:bidi="ar-TN"/>
        </w:rPr>
      </w:pPr>
    </w:p>
    <w:p w14:paraId="61E56809" w14:textId="7C82F6D4" w:rsidR="00EA642E" w:rsidRDefault="00EA642E" w:rsidP="003754CB">
      <w:pPr>
        <w:bidi/>
        <w:spacing w:after="0" w:line="240" w:lineRule="auto"/>
        <w:ind w:left="283"/>
        <w:jc w:val="both"/>
        <w:rPr>
          <w:rFonts w:ascii="Arial" w:hAnsi="Arial" w:cs="Arial"/>
          <w:b/>
          <w:bCs/>
          <w:rtl/>
          <w:lang w:bidi="ar-TN"/>
        </w:rPr>
      </w:pPr>
      <w:r>
        <w:rPr>
          <w:rFonts w:ascii="Arial" w:hAnsi="Arial" w:cs="Arial" w:hint="cs"/>
          <w:b/>
          <w:bCs/>
          <w:rtl/>
          <w:lang w:bidi="ar-TN"/>
        </w:rPr>
        <w:t xml:space="preserve">المرجع: المنشور عدد 19 المؤرخ في 19 </w:t>
      </w:r>
      <w:proofErr w:type="spellStart"/>
      <w:r>
        <w:rPr>
          <w:rFonts w:ascii="Arial" w:hAnsi="Arial" w:cs="Arial" w:hint="cs"/>
          <w:b/>
          <w:bCs/>
          <w:rtl/>
          <w:lang w:bidi="ar-TN"/>
        </w:rPr>
        <w:t>أفريل</w:t>
      </w:r>
      <w:proofErr w:type="spellEnd"/>
      <w:r>
        <w:rPr>
          <w:rFonts w:ascii="Arial" w:hAnsi="Arial" w:cs="Arial" w:hint="cs"/>
          <w:b/>
          <w:bCs/>
          <w:rtl/>
          <w:lang w:bidi="ar-TN"/>
        </w:rPr>
        <w:t xml:space="preserve"> 2005</w:t>
      </w:r>
    </w:p>
    <w:p w14:paraId="4393146A" w14:textId="77777777" w:rsidR="00EA642E" w:rsidRDefault="00EA642E" w:rsidP="003754CB">
      <w:pPr>
        <w:bidi/>
        <w:spacing w:after="0" w:line="240" w:lineRule="auto"/>
        <w:ind w:left="283"/>
        <w:jc w:val="both"/>
        <w:rPr>
          <w:rFonts w:ascii="Arial" w:hAnsi="Arial" w:cs="Arial"/>
          <w:b/>
          <w:bCs/>
          <w:rtl/>
          <w:lang w:bidi="ar-TN"/>
        </w:rPr>
      </w:pPr>
    </w:p>
    <w:p w14:paraId="4744186E" w14:textId="3086F863" w:rsidR="00EA642E" w:rsidRDefault="00EA642E" w:rsidP="003754CB">
      <w:pPr>
        <w:bidi/>
        <w:spacing w:after="0" w:line="240" w:lineRule="auto"/>
        <w:ind w:left="283"/>
        <w:jc w:val="both"/>
        <w:rPr>
          <w:rFonts w:ascii="Arial" w:hAnsi="Arial" w:cs="Arial"/>
          <w:rtl/>
          <w:lang w:bidi="ar-TN"/>
        </w:rPr>
      </w:pPr>
      <w:r>
        <w:rPr>
          <w:rFonts w:ascii="Arial" w:hAnsi="Arial" w:cs="Arial" w:hint="cs"/>
          <w:rtl/>
          <w:lang w:bidi="ar-TN"/>
        </w:rPr>
        <w:t xml:space="preserve">أما بعد ، عملا على تلافي الصعوبات المسجلة على مستوى تنفيذ إجراءات التصرف في التجهيزات الإعلامية التي زال الانتفاع بها من قبل الهياكل العمومية والتفويت فيها، فقد تقرر إلغاء مقتضيات المنشور عدد 19 المؤرخ في 19 </w:t>
      </w:r>
      <w:proofErr w:type="spellStart"/>
      <w:r>
        <w:rPr>
          <w:rFonts w:ascii="Arial" w:hAnsi="Arial" w:cs="Arial" w:hint="cs"/>
          <w:rtl/>
          <w:lang w:bidi="ar-TN"/>
        </w:rPr>
        <w:t>أفريل</w:t>
      </w:r>
      <w:proofErr w:type="spellEnd"/>
      <w:r>
        <w:rPr>
          <w:rFonts w:ascii="Arial" w:hAnsi="Arial" w:cs="Arial" w:hint="cs"/>
          <w:rtl/>
          <w:lang w:bidi="ar-TN"/>
        </w:rPr>
        <w:t xml:space="preserve"> 2005 المشار إليه بالمرجع.</w:t>
      </w:r>
    </w:p>
    <w:p w14:paraId="6F83DB75" w14:textId="77777777" w:rsidR="00EA642E" w:rsidRDefault="00EA642E" w:rsidP="003754CB">
      <w:pPr>
        <w:bidi/>
        <w:spacing w:after="0" w:line="240" w:lineRule="auto"/>
        <w:ind w:left="283"/>
        <w:jc w:val="both"/>
        <w:rPr>
          <w:rFonts w:ascii="Arial" w:hAnsi="Arial" w:cs="Arial"/>
          <w:rtl/>
          <w:lang w:bidi="ar-TN"/>
        </w:rPr>
      </w:pPr>
    </w:p>
    <w:p w14:paraId="44F3C28F" w14:textId="4852608D" w:rsidR="00EA642E" w:rsidRDefault="00EA642E" w:rsidP="003754CB">
      <w:pPr>
        <w:bidi/>
        <w:spacing w:after="0" w:line="240" w:lineRule="auto"/>
        <w:ind w:left="283"/>
        <w:jc w:val="both"/>
        <w:rPr>
          <w:rFonts w:ascii="Arial" w:hAnsi="Arial" w:cs="Arial"/>
          <w:rtl/>
          <w:lang w:bidi="ar-TN"/>
        </w:rPr>
      </w:pPr>
      <w:r>
        <w:rPr>
          <w:rFonts w:ascii="Arial" w:hAnsi="Arial" w:cs="Arial" w:hint="cs"/>
          <w:rtl/>
          <w:lang w:bidi="ar-TN"/>
        </w:rPr>
        <w:t xml:space="preserve">لذا، يتعين، مستقبلا على الهياكل العمومية اتباع التمشي التالي: </w:t>
      </w:r>
    </w:p>
    <w:p w14:paraId="09D4EB45" w14:textId="77777777" w:rsidR="00EA642E" w:rsidRDefault="00EA642E" w:rsidP="003754CB">
      <w:pPr>
        <w:bidi/>
        <w:spacing w:after="0" w:line="240" w:lineRule="auto"/>
        <w:ind w:left="283"/>
        <w:jc w:val="both"/>
        <w:rPr>
          <w:rFonts w:ascii="Arial" w:hAnsi="Arial" w:cs="Arial"/>
          <w:rtl/>
          <w:lang w:bidi="ar-TN"/>
        </w:rPr>
      </w:pPr>
    </w:p>
    <w:p w14:paraId="2246E5A7" w14:textId="77777777" w:rsidR="003754CB" w:rsidRDefault="00EA642E" w:rsidP="003754CB">
      <w:pPr>
        <w:pStyle w:val="Paragraphedeliste"/>
        <w:numPr>
          <w:ilvl w:val="0"/>
          <w:numId w:val="41"/>
        </w:numPr>
        <w:bidi/>
        <w:spacing w:after="0" w:line="240" w:lineRule="auto"/>
        <w:ind w:left="927"/>
        <w:jc w:val="both"/>
        <w:rPr>
          <w:rFonts w:ascii="Arial" w:hAnsi="Arial" w:cs="Arial" w:hint="cs"/>
          <w:lang w:bidi="ar-TN"/>
        </w:rPr>
      </w:pPr>
      <w:r>
        <w:rPr>
          <w:rFonts w:ascii="Arial" w:hAnsi="Arial" w:cs="Arial" w:hint="cs"/>
          <w:rtl/>
          <w:lang w:bidi="ar-TN"/>
        </w:rPr>
        <w:t xml:space="preserve">بخصوص التجهيزات الإعلامية التي زال </w:t>
      </w:r>
      <w:r w:rsidR="003754CB">
        <w:rPr>
          <w:rFonts w:ascii="Arial" w:hAnsi="Arial" w:cs="Arial" w:hint="cs"/>
          <w:rtl/>
          <w:lang w:bidi="ar-TN"/>
        </w:rPr>
        <w:t>الانتفاع بها والقابلة للاستغلال: يتم التفويت فيها طبقا للإجراءات الجاري بها العمل في المجال.</w:t>
      </w:r>
    </w:p>
    <w:p w14:paraId="2CE71E92" w14:textId="77777777" w:rsidR="003754CB" w:rsidRDefault="003754CB" w:rsidP="003754CB">
      <w:pPr>
        <w:pStyle w:val="Paragraphedeliste"/>
        <w:bidi/>
        <w:spacing w:after="0" w:line="240" w:lineRule="auto"/>
        <w:ind w:left="927"/>
        <w:jc w:val="both"/>
        <w:rPr>
          <w:rFonts w:ascii="Arial" w:hAnsi="Arial" w:cs="Arial" w:hint="cs"/>
          <w:lang w:bidi="ar-TN"/>
        </w:rPr>
      </w:pPr>
    </w:p>
    <w:p w14:paraId="4F5E2A38" w14:textId="14E4E9B9" w:rsidR="003754CB" w:rsidRPr="003754CB" w:rsidRDefault="003754CB" w:rsidP="003754CB">
      <w:pPr>
        <w:pStyle w:val="Paragraphedeliste"/>
        <w:numPr>
          <w:ilvl w:val="0"/>
          <w:numId w:val="41"/>
        </w:numPr>
        <w:bidi/>
        <w:spacing w:after="0" w:line="240" w:lineRule="auto"/>
        <w:ind w:left="927"/>
        <w:jc w:val="both"/>
        <w:rPr>
          <w:rFonts w:ascii="Arial" w:hAnsi="Arial" w:cs="Arial" w:hint="cs"/>
          <w:rtl/>
          <w:lang w:bidi="ar-TN"/>
        </w:rPr>
      </w:pPr>
      <w:r w:rsidRPr="003754CB">
        <w:rPr>
          <w:rFonts w:ascii="Arial" w:hAnsi="Arial" w:cs="Arial" w:hint="cs"/>
          <w:rtl/>
          <w:lang w:bidi="ar-TN"/>
        </w:rPr>
        <w:t>بخصوص التجهيزات الإعلامية التي زال الانتفاع بها وغير قابلة لإعادة الاستغلال: بهدف مزيد ترشيد التصرف فيها بما يراعي متطلبات المحافظة على المجال على المجال البيئي وتفادي الإتلاف العشوائي لهذه التجهيزات، يتعين التفويت فيها لفائدة الشركات المتخصصة والمؤهلة للتصرف في النفايات الكهربائية والالكترونية، المرخص لها من قبل وزارة البيئة طبقا للإجراءات الجاري بها العم</w:t>
      </w:r>
      <w:bookmarkStart w:id="0" w:name="_GoBack"/>
      <w:bookmarkEnd w:id="0"/>
      <w:r w:rsidRPr="003754CB">
        <w:rPr>
          <w:rFonts w:ascii="Arial" w:hAnsi="Arial" w:cs="Arial" w:hint="cs"/>
          <w:rtl/>
          <w:lang w:bidi="ar-TN"/>
        </w:rPr>
        <w:t>ل في المجال.</w:t>
      </w:r>
    </w:p>
    <w:p w14:paraId="36680395" w14:textId="77777777" w:rsidR="003754CB" w:rsidRDefault="003754CB" w:rsidP="003754CB">
      <w:pPr>
        <w:pStyle w:val="Paragraphedeliste"/>
        <w:bidi/>
        <w:spacing w:after="0" w:line="240" w:lineRule="auto"/>
        <w:ind w:left="283"/>
        <w:jc w:val="both"/>
        <w:rPr>
          <w:rFonts w:ascii="Arial" w:hAnsi="Arial" w:cs="Arial" w:hint="cs"/>
          <w:lang w:bidi="ar-TN"/>
        </w:rPr>
      </w:pPr>
    </w:p>
    <w:p w14:paraId="59D0E6A9" w14:textId="77777777" w:rsidR="003754CB" w:rsidRDefault="003754CB" w:rsidP="003754CB">
      <w:pPr>
        <w:bidi/>
        <w:spacing w:after="0" w:line="240" w:lineRule="auto"/>
        <w:ind w:left="283"/>
        <w:jc w:val="both"/>
        <w:rPr>
          <w:rFonts w:ascii="Arial" w:hAnsi="Arial" w:cs="Arial" w:hint="cs"/>
          <w:rtl/>
          <w:lang w:bidi="ar-TN"/>
        </w:rPr>
      </w:pPr>
      <w:proofErr w:type="gramStart"/>
      <w:r>
        <w:rPr>
          <w:rFonts w:ascii="Arial" w:hAnsi="Arial" w:cs="Arial" w:hint="cs"/>
          <w:rtl/>
          <w:lang w:bidi="ar-TN"/>
        </w:rPr>
        <w:t>ويجدر</w:t>
      </w:r>
      <w:proofErr w:type="gramEnd"/>
      <w:r>
        <w:rPr>
          <w:rFonts w:ascii="Arial" w:hAnsi="Arial" w:cs="Arial" w:hint="cs"/>
          <w:rtl/>
          <w:lang w:bidi="ar-TN"/>
        </w:rPr>
        <w:t xml:space="preserve"> التذكير أن الوزارات والجماعات المحلية والمؤسسات العمومية ذات الصبغة الإدارية مدعوة للتنسيق في الغرض مع مصالح وزارة أملاك الدولة والشؤون العقارية.</w:t>
      </w:r>
    </w:p>
    <w:p w14:paraId="3813FB10" w14:textId="77777777" w:rsidR="003754CB" w:rsidRDefault="003754CB" w:rsidP="003754CB">
      <w:pPr>
        <w:bidi/>
        <w:spacing w:after="0" w:line="240" w:lineRule="auto"/>
        <w:ind w:left="283"/>
        <w:jc w:val="both"/>
        <w:rPr>
          <w:rFonts w:ascii="Arial" w:hAnsi="Arial" w:cs="Arial" w:hint="cs"/>
          <w:rtl/>
          <w:lang w:bidi="ar-TN"/>
        </w:rPr>
      </w:pPr>
    </w:p>
    <w:p w14:paraId="3F6215D7" w14:textId="19F65842" w:rsidR="003754CB" w:rsidRDefault="003754CB" w:rsidP="003754CB">
      <w:pPr>
        <w:bidi/>
        <w:spacing w:after="0" w:line="240" w:lineRule="auto"/>
        <w:ind w:left="283"/>
        <w:jc w:val="both"/>
        <w:rPr>
          <w:rFonts w:ascii="Arial" w:hAnsi="Arial" w:cs="Arial" w:hint="cs"/>
          <w:rtl/>
          <w:lang w:bidi="ar-TN"/>
        </w:rPr>
      </w:pPr>
      <w:proofErr w:type="gramStart"/>
      <w:r>
        <w:rPr>
          <w:rFonts w:ascii="Arial" w:hAnsi="Arial" w:cs="Arial" w:hint="cs"/>
          <w:rtl/>
          <w:lang w:bidi="ar-TN"/>
        </w:rPr>
        <w:t>ونظرا</w:t>
      </w:r>
      <w:proofErr w:type="gramEnd"/>
      <w:r>
        <w:rPr>
          <w:rFonts w:ascii="Arial" w:hAnsi="Arial" w:cs="Arial" w:hint="cs"/>
          <w:rtl/>
          <w:lang w:bidi="ar-TN"/>
        </w:rPr>
        <w:t xml:space="preserve"> لأهمية الموضوع، المرجو من السيدات والسادة الوزراء وكتاب الدولة والولاة ورؤساء البلديات ورؤساء المؤسسات والمنشآت العمومية اتخاذ التدابير اللازمة لتنفيذ مقتضيات هذا المنشور بكامل العناية.</w:t>
      </w:r>
    </w:p>
    <w:p w14:paraId="29CE3F4E" w14:textId="77777777" w:rsidR="003754CB" w:rsidRDefault="003754CB" w:rsidP="003754CB">
      <w:pPr>
        <w:bidi/>
        <w:spacing w:after="0" w:line="240" w:lineRule="auto"/>
        <w:ind w:left="283"/>
        <w:jc w:val="both"/>
        <w:rPr>
          <w:rFonts w:ascii="Arial" w:hAnsi="Arial" w:cs="Arial" w:hint="cs"/>
          <w:rtl/>
          <w:lang w:bidi="ar-TN"/>
        </w:rPr>
      </w:pPr>
    </w:p>
    <w:p w14:paraId="685F56B2" w14:textId="576A6701" w:rsidR="003754CB" w:rsidRPr="003754CB" w:rsidRDefault="003754CB" w:rsidP="003754CB">
      <w:pPr>
        <w:bidi/>
        <w:spacing w:after="0" w:line="240" w:lineRule="auto"/>
        <w:ind w:left="283"/>
        <w:jc w:val="both"/>
        <w:rPr>
          <w:rFonts w:ascii="Arial" w:hAnsi="Arial" w:cs="Arial" w:hint="cs"/>
          <w:b/>
          <w:bCs/>
          <w:rtl/>
          <w:lang w:bidi="ar-TN"/>
        </w:rPr>
      </w:pPr>
      <w:r w:rsidRPr="003754CB">
        <w:rPr>
          <w:rFonts w:ascii="Arial" w:hAnsi="Arial" w:cs="Arial" w:hint="cs"/>
          <w:b/>
          <w:bCs/>
          <w:rtl/>
          <w:lang w:bidi="ar-TN"/>
        </w:rPr>
        <w:t xml:space="preserve">تونس </w:t>
      </w:r>
      <w:proofErr w:type="gramStart"/>
      <w:r w:rsidRPr="003754CB">
        <w:rPr>
          <w:rFonts w:ascii="Arial" w:hAnsi="Arial" w:cs="Arial" w:hint="cs"/>
          <w:b/>
          <w:bCs/>
          <w:rtl/>
          <w:lang w:bidi="ar-TN"/>
        </w:rPr>
        <w:t>في</w:t>
      </w:r>
      <w:proofErr w:type="gramEnd"/>
      <w:r w:rsidRPr="003754CB">
        <w:rPr>
          <w:rFonts w:ascii="Arial" w:hAnsi="Arial" w:cs="Arial" w:hint="cs"/>
          <w:b/>
          <w:bCs/>
          <w:rtl/>
          <w:lang w:bidi="ar-TN"/>
        </w:rPr>
        <w:t xml:space="preserve"> 1 فيفري 2013.</w:t>
      </w:r>
    </w:p>
    <w:p w14:paraId="7B260AA2" w14:textId="77777777" w:rsidR="003754CB" w:rsidRPr="003754CB" w:rsidRDefault="003754CB" w:rsidP="003754CB">
      <w:pPr>
        <w:bidi/>
        <w:spacing w:after="0" w:line="240" w:lineRule="auto"/>
        <w:ind w:left="283"/>
        <w:jc w:val="both"/>
        <w:rPr>
          <w:rFonts w:ascii="Arial" w:hAnsi="Arial" w:cs="Arial"/>
          <w:lang w:bidi="ar-TN"/>
        </w:rPr>
      </w:pPr>
    </w:p>
    <w:sectPr w:rsidR="003754CB" w:rsidRPr="003754CB" w:rsidSect="00117606">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47F401" w14:textId="77777777" w:rsidR="00012DB9" w:rsidRDefault="00012DB9" w:rsidP="008F3F2D">
      <w:r>
        <w:separator/>
      </w:r>
    </w:p>
  </w:endnote>
  <w:endnote w:type="continuationSeparator" w:id="0">
    <w:p w14:paraId="4D03A384" w14:textId="77777777" w:rsidR="00012DB9" w:rsidRDefault="00012DB9"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5465737D">
              <wp:simplePos x="0" y="0"/>
              <wp:positionH relativeFrom="column">
                <wp:posOffset>-1143000</wp:posOffset>
              </wp:positionH>
              <wp:positionV relativeFrom="paragraph">
                <wp:posOffset>398145</wp:posOffset>
              </wp:positionV>
              <wp:extent cx="7886700" cy="457200"/>
              <wp:effectExtent l="0" t="0" r="12700" b="0"/>
              <wp:wrapNone/>
              <wp:docPr id="5" name="Rectangle 5"/>
              <wp:cNvGraphicFramePr/>
              <a:graphic xmlns:a="http://schemas.openxmlformats.org/drawingml/2006/main">
                <a:graphicData uri="http://schemas.microsoft.com/office/word/2010/wordprocessingShape">
                  <wps:wsp>
                    <wps:cNvSpPr/>
                    <wps:spPr>
                      <a:xfrm>
                        <a:off x="0" y="0"/>
                        <a:ext cx="788670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75F5800F" w14:textId="20F70992" w:rsidR="001E5DD5" w:rsidRDefault="001E5DD5" w:rsidP="001E5DD5">
                          <w:pPr>
                            <w:jc w:val="center"/>
                            <w:rPr>
                              <w:lang w:bidi="ar-T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pt;margin-top:31.35pt;width:621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" fillcolor="maroon" stroked="f">
              <v:fill color2="red" rotate="t" angle="180" focus="100%" type="gradient">
                <o:fill v:ext="view" type="gradientUnscaled"/>
              </v:fill>
              <v:textbox>
                <w:txbxContent>
                  <w:p w14:paraId="75F5800F" w14:textId="20F70992" w:rsidR="001E5DD5" w:rsidRDefault="001E5DD5" w:rsidP="001E5DD5">
                    <w:pPr>
                      <w:jc w:val="center"/>
                      <w:rPr>
                        <w:lang w:bidi="ar-TN"/>
                      </w:rP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4B4B917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386A1A02" w:rsidR="00A00644" w:rsidRPr="00A00644" w:rsidRDefault="00117606" w:rsidP="00117606">
                          <w:pPr>
                            <w:tabs>
                              <w:tab w:val="center" w:pos="6096"/>
                            </w:tabs>
                            <w:spacing w:before="160"/>
                            <w:jc w:val="center"/>
                            <w:rPr>
                              <w:rFonts w:ascii="Arial" w:hAnsi="Arial" w:cs="Arial"/>
                              <w:sz w:val="18"/>
                              <w:szCs w:val="18"/>
                              <w:lang w:bidi="ar-TN"/>
                            </w:rPr>
                          </w:pPr>
                          <w:r>
                            <w:rPr>
                              <w:rFonts w:ascii="Arial" w:hAnsi="Arial" w:cs="Arial"/>
                              <w:sz w:val="18"/>
                              <w:szCs w:val="18"/>
                              <w:lang w:bidi="ar-TN"/>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386A1A02" w:rsidR="00A00644" w:rsidRPr="00A00644" w:rsidRDefault="00117606" w:rsidP="00117606">
                    <w:pPr>
                      <w:tabs>
                        <w:tab w:val="center" w:pos="6096"/>
                      </w:tabs>
                      <w:spacing w:before="160"/>
                      <w:jc w:val="center"/>
                      <w:rPr>
                        <w:rFonts w:ascii="Arial" w:hAnsi="Arial" w:cs="Arial"/>
                        <w:sz w:val="18"/>
                        <w:szCs w:val="18"/>
                        <w:lang w:bidi="ar-TN"/>
                      </w:rPr>
                    </w:pPr>
                    <w:r>
                      <w:rPr>
                        <w:rFonts w:ascii="Arial" w:hAnsi="Arial" w:cs="Arial"/>
                        <w:sz w:val="18"/>
                        <w:szCs w:val="18"/>
                        <w:lang w:bidi="ar-TN"/>
                      </w:rPr>
                      <w:t>1/1</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F07749" w14:textId="77777777" w:rsidR="00012DB9" w:rsidRDefault="00012DB9" w:rsidP="008F3F2D">
      <w:r>
        <w:separator/>
      </w:r>
    </w:p>
  </w:footnote>
  <w:footnote w:type="continuationSeparator" w:id="0">
    <w:p w14:paraId="10071937" w14:textId="77777777" w:rsidR="00012DB9" w:rsidRDefault="00012DB9"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7EC57855" w:rsidR="00A00644" w:rsidRDefault="003A76D7">
    <w:pPr>
      <w:pStyle w:val="En-tte"/>
    </w:pPr>
    <w:r>
      <w:rPr>
        <w:noProof/>
      </w:rPr>
      <w:drawing>
        <wp:anchor distT="0" distB="0" distL="114300" distR="114300" simplePos="0" relativeHeight="251672576" behindDoc="0" locked="0" layoutInCell="1" allowOverlap="1" wp14:anchorId="78A652E8" wp14:editId="4827C5B4">
          <wp:simplePos x="0" y="0"/>
          <wp:positionH relativeFrom="column">
            <wp:posOffset>-734060</wp:posOffset>
          </wp:positionH>
          <wp:positionV relativeFrom="paragraph">
            <wp:posOffset>-566420</wp:posOffset>
          </wp:positionV>
          <wp:extent cx="928619" cy="506730"/>
          <wp:effectExtent l="0" t="0" r="0"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619" cy="506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A00644">
      <w:rPr>
        <w:noProof/>
      </w:rPr>
      <mc:AlternateContent>
        <mc:Choice Requires="wps">
          <w:drawing>
            <wp:anchor distT="0" distB="0" distL="114300" distR="114300" simplePos="0" relativeHeight="251661312" behindDoc="0" locked="0" layoutInCell="1" allowOverlap="1" wp14:anchorId="3D2DE5EC" wp14:editId="483D9D39">
              <wp:simplePos x="0" y="0"/>
              <wp:positionH relativeFrom="column">
                <wp:posOffset>-1143000</wp:posOffset>
              </wp:positionH>
              <wp:positionV relativeFrom="paragraph">
                <wp:posOffset>-720090</wp:posOffset>
              </wp:positionV>
              <wp:extent cx="7886700" cy="80010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78867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0E2AF746" w14:textId="0645C446" w:rsidR="002B237F" w:rsidRDefault="002B237F" w:rsidP="002B237F">
                          <w:pPr>
                            <w:bidi/>
                            <w:ind w:left="1134"/>
                            <w:rPr>
                              <w:rFonts w:ascii="Arial" w:eastAsia="Times New Roman" w:hAnsi="Arial" w:cs="Times New Roman"/>
                              <w:sz w:val="24"/>
                              <w:szCs w:val="24"/>
                              <w:rtl/>
                            </w:rPr>
                          </w:pPr>
                          <w:r>
                            <w:rPr>
                              <w:rFonts w:ascii="Arial" w:eastAsia="Times New Roman" w:hAnsi="Arial" w:cs="Times New Roman" w:hint="cs"/>
                              <w:sz w:val="24"/>
                              <w:szCs w:val="24"/>
                              <w:rtl/>
                            </w:rPr>
                            <w:t>إ</w:t>
                          </w:r>
                          <w:r w:rsidRPr="002B237F">
                            <w:rPr>
                              <w:rFonts w:ascii="Arial" w:eastAsia="Times New Roman" w:hAnsi="Arial" w:cs="Times New Roman" w:hint="cs"/>
                              <w:sz w:val="24"/>
                              <w:szCs w:val="24"/>
                              <w:rtl/>
                            </w:rPr>
                            <w:t>مكانية</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النفاذ</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إلى</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القوانين</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والأوامر</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وأصناف</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أخرى</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من</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النصوص</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القانونية</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المحينة</w:t>
                          </w:r>
                        </w:p>
                        <w:p w14:paraId="06D58900" w14:textId="215CF593" w:rsidR="00A00644" w:rsidRPr="005F7BF4" w:rsidRDefault="00A00644" w:rsidP="002B237F">
                          <w:pPr>
                            <w:bidi/>
                            <w:ind w:left="1134"/>
                            <w:jc w:val="both"/>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pt;margin-top:-56.7pt;width:621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0E2AF746" w14:textId="0645C446" w:rsidR="002B237F" w:rsidRDefault="002B237F" w:rsidP="002B237F">
                    <w:pPr>
                      <w:bidi/>
                      <w:ind w:left="1134"/>
                      <w:rPr>
                        <w:rFonts w:ascii="Arial" w:eastAsia="Times New Roman" w:hAnsi="Arial" w:cs="Times New Roman"/>
                        <w:sz w:val="24"/>
                        <w:szCs w:val="24"/>
                        <w:rtl/>
                      </w:rPr>
                    </w:pPr>
                    <w:r>
                      <w:rPr>
                        <w:rFonts w:ascii="Arial" w:eastAsia="Times New Roman" w:hAnsi="Arial" w:cs="Times New Roman" w:hint="cs"/>
                        <w:sz w:val="24"/>
                        <w:szCs w:val="24"/>
                        <w:rtl/>
                      </w:rPr>
                      <w:t>إ</w:t>
                    </w:r>
                    <w:r w:rsidRPr="002B237F">
                      <w:rPr>
                        <w:rFonts w:ascii="Arial" w:eastAsia="Times New Roman" w:hAnsi="Arial" w:cs="Times New Roman" w:hint="cs"/>
                        <w:sz w:val="24"/>
                        <w:szCs w:val="24"/>
                        <w:rtl/>
                      </w:rPr>
                      <w:t>مكانية</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النفاذ</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إلى</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القوانين</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والأوامر</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وأصناف</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أخرى</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من</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النصوص</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القانونية</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المحينة</w:t>
                    </w:r>
                  </w:p>
                  <w:p w14:paraId="06D58900" w14:textId="215CF593" w:rsidR="00A00644" w:rsidRPr="005F7BF4" w:rsidRDefault="00A00644" w:rsidP="002B237F">
                    <w:pPr>
                      <w:bidi/>
                      <w:ind w:left="1134"/>
                      <w:jc w:val="both"/>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71C15068" w:rsidR="00A00644" w:rsidRDefault="00117606">
    <w:pPr>
      <w:pStyle w:val="En-tte"/>
    </w:pPr>
    <w:r>
      <w:rPr>
        <w:noProof/>
      </w:rPr>
      <w:drawing>
        <wp:anchor distT="0" distB="0" distL="114300" distR="114300" simplePos="0" relativeHeight="251670528" behindDoc="0" locked="0" layoutInCell="1" allowOverlap="1" wp14:anchorId="576B68AA" wp14:editId="6AF50D04">
          <wp:simplePos x="0" y="0"/>
          <wp:positionH relativeFrom="column">
            <wp:posOffset>-311785</wp:posOffset>
          </wp:positionH>
          <wp:positionV relativeFrom="paragraph">
            <wp:posOffset>-585470</wp:posOffset>
          </wp:positionV>
          <wp:extent cx="928370" cy="506730"/>
          <wp:effectExtent l="0" t="0" r="0" b="0"/>
          <wp:wrapNone/>
          <wp:docPr id="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FDF51B2" wp14:editId="2036A217">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2D008D47" w:rsidR="00A00644" w:rsidRPr="00117606" w:rsidRDefault="002B237F" w:rsidP="002B237F">
                          <w:pPr>
                            <w:bidi/>
                            <w:spacing w:after="0" w:line="20" w:lineRule="atLeast"/>
                            <w:ind w:left="1134"/>
                            <w:rPr>
                              <w:rFonts w:ascii="Arial" w:eastAsia="Times New Roman" w:hAnsi="Arial" w:cs="Arial"/>
                              <w:sz w:val="28"/>
                              <w:lang w:eastAsia="en-US"/>
                            </w:rPr>
                          </w:pPr>
                          <w:proofErr w:type="gramStart"/>
                          <w:r w:rsidRPr="00117606">
                            <w:rPr>
                              <w:rFonts w:ascii="Arial" w:eastAsia="Times New Roman" w:hAnsi="Arial" w:cs="Arial" w:hint="cs"/>
                              <w:sz w:val="28"/>
                              <w:rtl/>
                              <w:lang w:eastAsia="en-US"/>
                            </w:rPr>
                            <w:t>قاعدة</w:t>
                          </w:r>
                          <w:proofErr w:type="gramEnd"/>
                          <w:r w:rsidRPr="00117606">
                            <w:rPr>
                              <w:rFonts w:ascii="Arial" w:eastAsia="Times New Roman" w:hAnsi="Arial" w:cs="Arial" w:hint="cs"/>
                              <w:sz w:val="28"/>
                              <w:rtl/>
                              <w:lang w:eastAsia="en-US"/>
                            </w:rPr>
                            <w:t xml:space="preserve"> البيانات</w:t>
                          </w:r>
                        </w:p>
                        <w:p w14:paraId="3810F960" w14:textId="4A9FD3C0" w:rsidR="00A00644" w:rsidRPr="00317C84" w:rsidRDefault="002B237F" w:rsidP="002B237F">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المتعلقة بقطاع الأمن في تونس</w:t>
                          </w:r>
                        </w:p>
                        <w:p w14:paraId="7E3BAB1E" w14:textId="0C2138CF" w:rsidR="00A00644" w:rsidRPr="00117606" w:rsidRDefault="00117606" w:rsidP="00117606">
                          <w:pPr>
                            <w:ind w:right="1134"/>
                            <w:jc w:val="right"/>
                            <w:rPr>
                              <w:rFonts w:ascii="Arial" w:hAnsi="Arial" w:cs="Arial"/>
                              <w:sz w:val="24"/>
                              <w:szCs w:val="24"/>
                            </w:rPr>
                          </w:pPr>
                          <w:r w:rsidRPr="00117606">
                            <w:rPr>
                              <w:rFonts w:ascii="Arial" w:hAnsi="Arial" w:cs="Arial"/>
                              <w:sz w:val="24"/>
                              <w:szCs w:val="24"/>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2D008D47" w:rsidR="00A00644" w:rsidRPr="00117606" w:rsidRDefault="002B237F" w:rsidP="002B237F">
                    <w:pPr>
                      <w:bidi/>
                      <w:spacing w:after="0" w:line="20" w:lineRule="atLeast"/>
                      <w:ind w:left="1134"/>
                      <w:rPr>
                        <w:rFonts w:ascii="Arial" w:eastAsia="Times New Roman" w:hAnsi="Arial" w:cs="Arial"/>
                        <w:sz w:val="28"/>
                        <w:lang w:eastAsia="en-US"/>
                      </w:rPr>
                    </w:pPr>
                    <w:proofErr w:type="gramStart"/>
                    <w:r w:rsidRPr="00117606">
                      <w:rPr>
                        <w:rFonts w:ascii="Arial" w:eastAsia="Times New Roman" w:hAnsi="Arial" w:cs="Arial" w:hint="cs"/>
                        <w:sz w:val="28"/>
                        <w:rtl/>
                        <w:lang w:eastAsia="en-US"/>
                      </w:rPr>
                      <w:t>قاعدة</w:t>
                    </w:r>
                    <w:proofErr w:type="gramEnd"/>
                    <w:r w:rsidRPr="00117606">
                      <w:rPr>
                        <w:rFonts w:ascii="Arial" w:eastAsia="Times New Roman" w:hAnsi="Arial" w:cs="Arial" w:hint="cs"/>
                        <w:sz w:val="28"/>
                        <w:rtl/>
                        <w:lang w:eastAsia="en-US"/>
                      </w:rPr>
                      <w:t xml:space="preserve"> البيانات</w:t>
                    </w:r>
                  </w:p>
                  <w:p w14:paraId="3810F960" w14:textId="4A9FD3C0" w:rsidR="00A00644" w:rsidRPr="00317C84" w:rsidRDefault="002B237F" w:rsidP="002B237F">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المتعلقة بقطاع الأمن في تونس</w:t>
                    </w:r>
                  </w:p>
                  <w:p w14:paraId="7E3BAB1E" w14:textId="0C2138CF" w:rsidR="00A00644" w:rsidRPr="00117606" w:rsidRDefault="00117606" w:rsidP="00117606">
                    <w:pPr>
                      <w:ind w:right="1134"/>
                      <w:jc w:val="right"/>
                      <w:rPr>
                        <w:rFonts w:ascii="Arial" w:hAnsi="Arial" w:cs="Arial"/>
                        <w:sz w:val="24"/>
                        <w:szCs w:val="24"/>
                      </w:rPr>
                    </w:pPr>
                    <w:r w:rsidRPr="00117606">
                      <w:rPr>
                        <w:rFonts w:ascii="Arial" w:hAnsi="Arial" w:cs="Arial"/>
                        <w:sz w:val="24"/>
                        <w:szCs w:val="24"/>
                      </w:rPr>
                      <w:t>www.legislation-securite.tn</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5AF4"/>
    <w:multiLevelType w:val="hybridMultilevel"/>
    <w:tmpl w:val="37D2F880"/>
    <w:lvl w:ilvl="0" w:tplc="040C0001">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
    <w:nsid w:val="02343376"/>
    <w:multiLevelType w:val="hybridMultilevel"/>
    <w:tmpl w:val="AE36B980"/>
    <w:lvl w:ilvl="0" w:tplc="5C6AD616">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4427BD0"/>
    <w:multiLevelType w:val="hybridMultilevel"/>
    <w:tmpl w:val="68388F58"/>
    <w:lvl w:ilvl="0" w:tplc="CA860DDE">
      <w:start w:val="1"/>
      <w:numFmt w:val="decimal"/>
      <w:lvlText w:val="%1-"/>
      <w:lvlJc w:val="left"/>
      <w:pPr>
        <w:ind w:left="720" w:hanging="360"/>
      </w:pPr>
      <w:rPr>
        <w:rFonts w:hint="default"/>
        <w:b w:val="0"/>
        <w:b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7561616"/>
    <w:multiLevelType w:val="hybridMultilevel"/>
    <w:tmpl w:val="54DCF99C"/>
    <w:lvl w:ilvl="0" w:tplc="5C6AD61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
    <w:nsid w:val="0C22195B"/>
    <w:multiLevelType w:val="hybridMultilevel"/>
    <w:tmpl w:val="BF3A9DBA"/>
    <w:lvl w:ilvl="0" w:tplc="5C6AD61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5">
    <w:nsid w:val="0E5037DD"/>
    <w:multiLevelType w:val="hybridMultilevel"/>
    <w:tmpl w:val="C2D4F540"/>
    <w:lvl w:ilvl="0" w:tplc="5C6AD61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6">
    <w:nsid w:val="18D42498"/>
    <w:multiLevelType w:val="hybridMultilevel"/>
    <w:tmpl w:val="706EB9F4"/>
    <w:lvl w:ilvl="0" w:tplc="5C6AD616">
      <w:start w:val="1"/>
      <w:numFmt w:val="arabicAbjad"/>
      <w:lvlText w:val="%1."/>
      <w:lvlJc w:val="left"/>
      <w:pPr>
        <w:ind w:left="1647" w:hanging="360"/>
      </w:pPr>
      <w:rPr>
        <w:rFonts w:hint="default"/>
      </w:r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abstractNum w:abstractNumId="7">
    <w:nsid w:val="1A212825"/>
    <w:multiLevelType w:val="hybridMultilevel"/>
    <w:tmpl w:val="54523D28"/>
    <w:lvl w:ilvl="0" w:tplc="5C6AD61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8">
    <w:nsid w:val="1EA55A77"/>
    <w:multiLevelType w:val="hybridMultilevel"/>
    <w:tmpl w:val="835028AC"/>
    <w:lvl w:ilvl="0" w:tplc="5C6AD61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9">
    <w:nsid w:val="260E18EE"/>
    <w:multiLevelType w:val="hybridMultilevel"/>
    <w:tmpl w:val="3D64A352"/>
    <w:lvl w:ilvl="0" w:tplc="5C6AD61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0">
    <w:nsid w:val="29695134"/>
    <w:multiLevelType w:val="hybridMultilevel"/>
    <w:tmpl w:val="09FEAE82"/>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A2E61C4"/>
    <w:multiLevelType w:val="hybridMultilevel"/>
    <w:tmpl w:val="ECF4E784"/>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2">
    <w:nsid w:val="2AA702EA"/>
    <w:multiLevelType w:val="hybridMultilevel"/>
    <w:tmpl w:val="18968C92"/>
    <w:lvl w:ilvl="0" w:tplc="040C000F">
      <w:start w:val="1"/>
      <w:numFmt w:val="decimal"/>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3">
    <w:nsid w:val="2B1577D1"/>
    <w:multiLevelType w:val="hybridMultilevel"/>
    <w:tmpl w:val="88EEB37A"/>
    <w:lvl w:ilvl="0" w:tplc="CD4682E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B4942E1"/>
    <w:multiLevelType w:val="hybridMultilevel"/>
    <w:tmpl w:val="F15867A6"/>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B66338A"/>
    <w:multiLevelType w:val="hybridMultilevel"/>
    <w:tmpl w:val="D6BA223C"/>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nsid w:val="2B8262C1"/>
    <w:multiLevelType w:val="hybridMultilevel"/>
    <w:tmpl w:val="A3986C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CB84013"/>
    <w:multiLevelType w:val="hybridMultilevel"/>
    <w:tmpl w:val="14EAB5DC"/>
    <w:lvl w:ilvl="0" w:tplc="5C6AD616">
      <w:start w:val="1"/>
      <w:numFmt w:val="arabicAbjad"/>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8">
    <w:nsid w:val="324D76A0"/>
    <w:multiLevelType w:val="hybridMultilevel"/>
    <w:tmpl w:val="58AE8FFA"/>
    <w:lvl w:ilvl="0" w:tplc="5C6AD61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9">
    <w:nsid w:val="33916CAB"/>
    <w:multiLevelType w:val="hybridMultilevel"/>
    <w:tmpl w:val="560EEC88"/>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nsid w:val="34433565"/>
    <w:multiLevelType w:val="hybridMultilevel"/>
    <w:tmpl w:val="32C4E1FA"/>
    <w:lvl w:ilvl="0" w:tplc="5C6AD616">
      <w:start w:val="1"/>
      <w:numFmt w:val="arabicAbjad"/>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1">
    <w:nsid w:val="362E4D11"/>
    <w:multiLevelType w:val="hybridMultilevel"/>
    <w:tmpl w:val="97307136"/>
    <w:lvl w:ilvl="0" w:tplc="5C6AD61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2">
    <w:nsid w:val="3A656CD5"/>
    <w:multiLevelType w:val="hybridMultilevel"/>
    <w:tmpl w:val="CE9267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FD22EA5"/>
    <w:multiLevelType w:val="hybridMultilevel"/>
    <w:tmpl w:val="567A1F6C"/>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4">
    <w:nsid w:val="41E70501"/>
    <w:multiLevelType w:val="hybridMultilevel"/>
    <w:tmpl w:val="3E663B16"/>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5">
    <w:nsid w:val="42BE427D"/>
    <w:multiLevelType w:val="hybridMultilevel"/>
    <w:tmpl w:val="FD9862D2"/>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6">
    <w:nsid w:val="438A42BB"/>
    <w:multiLevelType w:val="hybridMultilevel"/>
    <w:tmpl w:val="031EEE94"/>
    <w:lvl w:ilvl="0" w:tplc="31305FBE">
      <w:start w:val="1"/>
      <w:numFmt w:val="arabicAbjad"/>
      <w:lvlText w:val="%1."/>
      <w:lvlJc w:val="left"/>
      <w:pPr>
        <w:ind w:left="1004" w:hanging="360"/>
      </w:pPr>
      <w:rPr>
        <w:rFonts w:hint="default"/>
        <w:lang w:bidi="ar-TN"/>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7">
    <w:nsid w:val="475A17A3"/>
    <w:multiLevelType w:val="hybridMultilevel"/>
    <w:tmpl w:val="05D042FC"/>
    <w:lvl w:ilvl="0" w:tplc="5C6AD61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8">
    <w:nsid w:val="476B1AB9"/>
    <w:multiLevelType w:val="hybridMultilevel"/>
    <w:tmpl w:val="BA9C87EE"/>
    <w:lvl w:ilvl="0" w:tplc="5C6AD616">
      <w:start w:val="1"/>
      <w:numFmt w:val="arabicAbjad"/>
      <w:lvlText w:val="%1."/>
      <w:lvlJc w:val="left"/>
      <w:pPr>
        <w:ind w:left="2007" w:hanging="360"/>
      </w:pPr>
      <w:rPr>
        <w:rFonts w:hint="default"/>
      </w:rPr>
    </w:lvl>
    <w:lvl w:ilvl="1" w:tplc="040C0019" w:tentative="1">
      <w:start w:val="1"/>
      <w:numFmt w:val="lowerLetter"/>
      <w:lvlText w:val="%2."/>
      <w:lvlJc w:val="left"/>
      <w:pPr>
        <w:ind w:left="2727" w:hanging="360"/>
      </w:pPr>
    </w:lvl>
    <w:lvl w:ilvl="2" w:tplc="040C001B" w:tentative="1">
      <w:start w:val="1"/>
      <w:numFmt w:val="lowerRoman"/>
      <w:lvlText w:val="%3."/>
      <w:lvlJc w:val="right"/>
      <w:pPr>
        <w:ind w:left="3447" w:hanging="180"/>
      </w:pPr>
    </w:lvl>
    <w:lvl w:ilvl="3" w:tplc="040C000F" w:tentative="1">
      <w:start w:val="1"/>
      <w:numFmt w:val="decimal"/>
      <w:lvlText w:val="%4."/>
      <w:lvlJc w:val="left"/>
      <w:pPr>
        <w:ind w:left="4167" w:hanging="360"/>
      </w:pPr>
    </w:lvl>
    <w:lvl w:ilvl="4" w:tplc="040C0019" w:tentative="1">
      <w:start w:val="1"/>
      <w:numFmt w:val="lowerLetter"/>
      <w:lvlText w:val="%5."/>
      <w:lvlJc w:val="left"/>
      <w:pPr>
        <w:ind w:left="4887" w:hanging="360"/>
      </w:pPr>
    </w:lvl>
    <w:lvl w:ilvl="5" w:tplc="040C001B" w:tentative="1">
      <w:start w:val="1"/>
      <w:numFmt w:val="lowerRoman"/>
      <w:lvlText w:val="%6."/>
      <w:lvlJc w:val="right"/>
      <w:pPr>
        <w:ind w:left="5607" w:hanging="180"/>
      </w:pPr>
    </w:lvl>
    <w:lvl w:ilvl="6" w:tplc="040C000F" w:tentative="1">
      <w:start w:val="1"/>
      <w:numFmt w:val="decimal"/>
      <w:lvlText w:val="%7."/>
      <w:lvlJc w:val="left"/>
      <w:pPr>
        <w:ind w:left="6327" w:hanging="360"/>
      </w:pPr>
    </w:lvl>
    <w:lvl w:ilvl="7" w:tplc="040C0019" w:tentative="1">
      <w:start w:val="1"/>
      <w:numFmt w:val="lowerLetter"/>
      <w:lvlText w:val="%8."/>
      <w:lvlJc w:val="left"/>
      <w:pPr>
        <w:ind w:left="7047" w:hanging="360"/>
      </w:pPr>
    </w:lvl>
    <w:lvl w:ilvl="8" w:tplc="040C001B" w:tentative="1">
      <w:start w:val="1"/>
      <w:numFmt w:val="lowerRoman"/>
      <w:lvlText w:val="%9."/>
      <w:lvlJc w:val="right"/>
      <w:pPr>
        <w:ind w:left="7767" w:hanging="180"/>
      </w:pPr>
    </w:lvl>
  </w:abstractNum>
  <w:abstractNum w:abstractNumId="29">
    <w:nsid w:val="48B6386C"/>
    <w:multiLevelType w:val="hybridMultilevel"/>
    <w:tmpl w:val="C60EADCA"/>
    <w:lvl w:ilvl="0" w:tplc="D8DC3080">
      <w:numFmt w:val="bullet"/>
      <w:lvlText w:val="̶"/>
      <w:lvlJc w:val="left"/>
      <w:pPr>
        <w:ind w:left="1287" w:hanging="360"/>
      </w:pPr>
      <w:rPr>
        <w:rFonts w:ascii="Arial" w:eastAsiaTheme="minorEastAsia" w:hAnsi="Aria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0">
    <w:nsid w:val="4D933577"/>
    <w:multiLevelType w:val="hybridMultilevel"/>
    <w:tmpl w:val="8F8ED62A"/>
    <w:lvl w:ilvl="0" w:tplc="5C6AD616">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53C91243"/>
    <w:multiLevelType w:val="hybridMultilevel"/>
    <w:tmpl w:val="B1383B54"/>
    <w:lvl w:ilvl="0" w:tplc="5C6AD61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2">
    <w:nsid w:val="58E91BDD"/>
    <w:multiLevelType w:val="hybridMultilevel"/>
    <w:tmpl w:val="646A925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B843162"/>
    <w:multiLevelType w:val="hybridMultilevel"/>
    <w:tmpl w:val="66589890"/>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4">
    <w:nsid w:val="5D7E76B5"/>
    <w:multiLevelType w:val="hybridMultilevel"/>
    <w:tmpl w:val="8826A146"/>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5EBE70AC"/>
    <w:multiLevelType w:val="hybridMultilevel"/>
    <w:tmpl w:val="30861474"/>
    <w:lvl w:ilvl="0" w:tplc="5C6AD61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6">
    <w:nsid w:val="698F6607"/>
    <w:multiLevelType w:val="hybridMultilevel"/>
    <w:tmpl w:val="712E85F4"/>
    <w:lvl w:ilvl="0" w:tplc="88B4EA32">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71A353F6"/>
    <w:multiLevelType w:val="hybridMultilevel"/>
    <w:tmpl w:val="F432C46C"/>
    <w:lvl w:ilvl="0" w:tplc="0950A19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77147E97"/>
    <w:multiLevelType w:val="hybridMultilevel"/>
    <w:tmpl w:val="610EDAB8"/>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9">
    <w:nsid w:val="7A624573"/>
    <w:multiLevelType w:val="hybridMultilevel"/>
    <w:tmpl w:val="79263804"/>
    <w:lvl w:ilvl="0" w:tplc="6AFE2B36">
      <w:start w:val="1"/>
      <w:numFmt w:val="decimal"/>
      <w:lvlText w:val="%1-"/>
      <w:lvlJc w:val="left"/>
      <w:pPr>
        <w:ind w:left="720" w:hanging="360"/>
      </w:pPr>
      <w:rPr>
        <w:rFonts w:ascii="Arial"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7AE86ED3"/>
    <w:multiLevelType w:val="hybridMultilevel"/>
    <w:tmpl w:val="CB924454"/>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2"/>
  </w:num>
  <w:num w:numId="2">
    <w:abstractNumId w:val="10"/>
  </w:num>
  <w:num w:numId="3">
    <w:abstractNumId w:val="37"/>
  </w:num>
  <w:num w:numId="4">
    <w:abstractNumId w:val="13"/>
  </w:num>
  <w:num w:numId="5">
    <w:abstractNumId w:val="36"/>
  </w:num>
  <w:num w:numId="6">
    <w:abstractNumId w:val="39"/>
  </w:num>
  <w:num w:numId="7">
    <w:abstractNumId w:val="32"/>
  </w:num>
  <w:num w:numId="8">
    <w:abstractNumId w:val="14"/>
  </w:num>
  <w:num w:numId="9">
    <w:abstractNumId w:val="29"/>
  </w:num>
  <w:num w:numId="10">
    <w:abstractNumId w:val="33"/>
  </w:num>
  <w:num w:numId="11">
    <w:abstractNumId w:val="40"/>
  </w:num>
  <w:num w:numId="12">
    <w:abstractNumId w:val="15"/>
  </w:num>
  <w:num w:numId="13">
    <w:abstractNumId w:val="26"/>
  </w:num>
  <w:num w:numId="14">
    <w:abstractNumId w:val="24"/>
  </w:num>
  <w:num w:numId="15">
    <w:abstractNumId w:val="19"/>
  </w:num>
  <w:num w:numId="16">
    <w:abstractNumId w:val="3"/>
  </w:num>
  <w:num w:numId="17">
    <w:abstractNumId w:val="5"/>
  </w:num>
  <w:num w:numId="18">
    <w:abstractNumId w:val="31"/>
  </w:num>
  <w:num w:numId="19">
    <w:abstractNumId w:val="4"/>
  </w:num>
  <w:num w:numId="20">
    <w:abstractNumId w:val="18"/>
  </w:num>
  <w:num w:numId="21">
    <w:abstractNumId w:val="21"/>
  </w:num>
  <w:num w:numId="22">
    <w:abstractNumId w:val="12"/>
  </w:num>
  <w:num w:numId="23">
    <w:abstractNumId w:val="35"/>
  </w:num>
  <w:num w:numId="24">
    <w:abstractNumId w:val="20"/>
  </w:num>
  <w:num w:numId="25">
    <w:abstractNumId w:val="8"/>
  </w:num>
  <w:num w:numId="26">
    <w:abstractNumId w:val="25"/>
  </w:num>
  <w:num w:numId="27">
    <w:abstractNumId w:val="22"/>
  </w:num>
  <w:num w:numId="28">
    <w:abstractNumId w:val="16"/>
  </w:num>
  <w:num w:numId="29">
    <w:abstractNumId w:val="1"/>
  </w:num>
  <w:num w:numId="30">
    <w:abstractNumId w:val="27"/>
  </w:num>
  <w:num w:numId="31">
    <w:abstractNumId w:val="30"/>
  </w:num>
  <w:num w:numId="32">
    <w:abstractNumId w:val="11"/>
  </w:num>
  <w:num w:numId="33">
    <w:abstractNumId w:val="7"/>
  </w:num>
  <w:num w:numId="34">
    <w:abstractNumId w:val="9"/>
  </w:num>
  <w:num w:numId="35">
    <w:abstractNumId w:val="23"/>
  </w:num>
  <w:num w:numId="36">
    <w:abstractNumId w:val="34"/>
  </w:num>
  <w:num w:numId="37">
    <w:abstractNumId w:val="6"/>
  </w:num>
  <w:num w:numId="38">
    <w:abstractNumId w:val="17"/>
  </w:num>
  <w:num w:numId="39">
    <w:abstractNumId w:val="28"/>
  </w:num>
  <w:num w:numId="40">
    <w:abstractNumId w:val="38"/>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12DB9"/>
    <w:rsid w:val="0007757C"/>
    <w:rsid w:val="000A293F"/>
    <w:rsid w:val="000B0D20"/>
    <w:rsid w:val="000E68CA"/>
    <w:rsid w:val="00117606"/>
    <w:rsid w:val="00164E1F"/>
    <w:rsid w:val="001A7EEB"/>
    <w:rsid w:val="001E5DD5"/>
    <w:rsid w:val="0024012A"/>
    <w:rsid w:val="00275977"/>
    <w:rsid w:val="002B19EE"/>
    <w:rsid w:val="002B237F"/>
    <w:rsid w:val="003460A9"/>
    <w:rsid w:val="00354137"/>
    <w:rsid w:val="003754CB"/>
    <w:rsid w:val="0039511C"/>
    <w:rsid w:val="003A76D7"/>
    <w:rsid w:val="003B6CD4"/>
    <w:rsid w:val="00472F2D"/>
    <w:rsid w:val="00474146"/>
    <w:rsid w:val="004775F2"/>
    <w:rsid w:val="004B5F1C"/>
    <w:rsid w:val="004C7CD5"/>
    <w:rsid w:val="005F7BF4"/>
    <w:rsid w:val="00607AD1"/>
    <w:rsid w:val="0063254A"/>
    <w:rsid w:val="00684129"/>
    <w:rsid w:val="006D4FA0"/>
    <w:rsid w:val="00707680"/>
    <w:rsid w:val="007244D3"/>
    <w:rsid w:val="00726991"/>
    <w:rsid w:val="00744C8E"/>
    <w:rsid w:val="0075404E"/>
    <w:rsid w:val="0076083F"/>
    <w:rsid w:val="007C6F68"/>
    <w:rsid w:val="00827514"/>
    <w:rsid w:val="00880706"/>
    <w:rsid w:val="008C7729"/>
    <w:rsid w:val="008F3F2D"/>
    <w:rsid w:val="008F6575"/>
    <w:rsid w:val="00957F0E"/>
    <w:rsid w:val="009635AA"/>
    <w:rsid w:val="0097472C"/>
    <w:rsid w:val="00990DE7"/>
    <w:rsid w:val="00A00644"/>
    <w:rsid w:val="00A04F09"/>
    <w:rsid w:val="00A90F21"/>
    <w:rsid w:val="00AA145F"/>
    <w:rsid w:val="00AD2268"/>
    <w:rsid w:val="00B05438"/>
    <w:rsid w:val="00B363C3"/>
    <w:rsid w:val="00B617F1"/>
    <w:rsid w:val="00B82034"/>
    <w:rsid w:val="00C1635D"/>
    <w:rsid w:val="00C4381D"/>
    <w:rsid w:val="00C513AB"/>
    <w:rsid w:val="00C600DA"/>
    <w:rsid w:val="00C64266"/>
    <w:rsid w:val="00C64B86"/>
    <w:rsid w:val="00CA1CA2"/>
    <w:rsid w:val="00CC4ADF"/>
    <w:rsid w:val="00D07749"/>
    <w:rsid w:val="00D2697E"/>
    <w:rsid w:val="00D91709"/>
    <w:rsid w:val="00DB391C"/>
    <w:rsid w:val="00DE6A0E"/>
    <w:rsid w:val="00E10A35"/>
    <w:rsid w:val="00E23F5E"/>
    <w:rsid w:val="00E2601B"/>
    <w:rsid w:val="00E26825"/>
    <w:rsid w:val="00E67B95"/>
    <w:rsid w:val="00E746B3"/>
    <w:rsid w:val="00E74F47"/>
    <w:rsid w:val="00E953A2"/>
    <w:rsid w:val="00EA642E"/>
    <w:rsid w:val="00EB567D"/>
    <w:rsid w:val="00F0474D"/>
    <w:rsid w:val="00F57B75"/>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8F6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8F6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4611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210</Words>
  <Characters>1159</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Boujeh Wided</dc:creator>
  <cp:lastModifiedBy>Melki Alia</cp:lastModifiedBy>
  <cp:revision>3</cp:revision>
  <cp:lastPrinted>2012-05-12T20:43:00Z</cp:lastPrinted>
  <dcterms:created xsi:type="dcterms:W3CDTF">2015-02-23T14:51:00Z</dcterms:created>
  <dcterms:modified xsi:type="dcterms:W3CDTF">2015-02-23T14:58:00Z</dcterms:modified>
</cp:coreProperties>
</file>