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9BFDF" w14:textId="77777777" w:rsidR="00AE2ACA" w:rsidRDefault="00AE2ACA" w:rsidP="009E31C5">
      <w:pPr>
        <w:pStyle w:val="Paragraphedeliste"/>
        <w:bidi/>
        <w:spacing w:after="0"/>
        <w:ind w:left="283"/>
        <w:jc w:val="both"/>
        <w:rPr>
          <w:rFonts w:ascii="Arial" w:hAnsi="Arial" w:cs="Arial" w:hint="cs"/>
          <w:b/>
          <w:bCs/>
          <w:rtl/>
          <w:lang w:bidi="ar-TN"/>
        </w:rPr>
      </w:pPr>
    </w:p>
    <w:p w14:paraId="1F2B35E3" w14:textId="77777777" w:rsidR="009E31C5" w:rsidRPr="00AE2ACA" w:rsidRDefault="009E31C5" w:rsidP="00AE2ACA">
      <w:pPr>
        <w:pStyle w:val="Paragraphedeliste"/>
        <w:bidi/>
        <w:spacing w:after="0"/>
        <w:ind w:left="283"/>
        <w:jc w:val="both"/>
        <w:rPr>
          <w:rFonts w:ascii="Arial" w:hAnsi="Arial" w:cs="Arial" w:hint="cs"/>
          <w:b/>
          <w:bCs/>
          <w:sz w:val="24"/>
          <w:szCs w:val="24"/>
          <w:rtl/>
          <w:lang w:bidi="ar-TN"/>
        </w:rPr>
      </w:pPr>
      <w:r w:rsidRPr="00AE2ACA">
        <w:rPr>
          <w:rFonts w:ascii="Arial" w:hAnsi="Arial" w:cs="Arial" w:hint="cs"/>
          <w:b/>
          <w:bCs/>
          <w:sz w:val="24"/>
          <w:szCs w:val="24"/>
          <w:rtl/>
          <w:lang w:bidi="ar-TN"/>
        </w:rPr>
        <w:t>منشور عدد 21 لسنة 2012 مؤرخ في 16 أفريل 2012 بخصوص الالتزام بالقواعد المنظمة لعلاقاتنا الخارجية</w:t>
      </w:r>
    </w:p>
    <w:p w14:paraId="281E26D1" w14:textId="77777777" w:rsidR="009E31C5" w:rsidRPr="009E31C5" w:rsidRDefault="009E31C5" w:rsidP="009E31C5">
      <w:pPr>
        <w:pStyle w:val="Paragraphedeliste"/>
        <w:bidi/>
        <w:spacing w:after="0"/>
        <w:ind w:left="283"/>
        <w:jc w:val="both"/>
        <w:rPr>
          <w:rFonts w:ascii="Arial" w:hAnsi="Arial" w:cs="Arial" w:hint="cs"/>
          <w:b/>
          <w:bCs/>
          <w:rtl/>
          <w:lang w:bidi="ar-TN"/>
        </w:rPr>
      </w:pPr>
    </w:p>
    <w:p w14:paraId="51271DC6" w14:textId="79E6D8F5" w:rsidR="00FE6FD7" w:rsidRDefault="009E31C5" w:rsidP="009E31C5">
      <w:pPr>
        <w:pStyle w:val="Paragraphedeliste"/>
        <w:bidi/>
        <w:spacing w:after="0"/>
        <w:ind w:left="283"/>
        <w:jc w:val="both"/>
        <w:rPr>
          <w:rFonts w:ascii="Arial" w:hAnsi="Arial" w:cs="Arial" w:hint="cs"/>
          <w:b/>
          <w:bCs/>
          <w:rtl/>
        </w:rPr>
      </w:pPr>
      <w:bookmarkStart w:id="0" w:name="_GoBack"/>
      <w:bookmarkEnd w:id="0"/>
      <w:r w:rsidRPr="009E31C5">
        <w:rPr>
          <w:rFonts w:ascii="Arial" w:hAnsi="Arial" w:cs="Arial" w:hint="cs"/>
          <w:b/>
          <w:bCs/>
          <w:rtl/>
          <w:lang w:bidi="ar-TN"/>
        </w:rPr>
        <w:t>المرجع : منشور الوزير الأول عدد 32 بتاريخ 24 جويلية 2007</w:t>
      </w:r>
      <w:r w:rsidR="00FE6FD7" w:rsidRPr="009E31C5">
        <w:rPr>
          <w:rFonts w:ascii="Arial" w:hAnsi="Arial" w:cs="Arial" w:hint="cs"/>
          <w:b/>
          <w:bCs/>
          <w:rtl/>
        </w:rPr>
        <w:t xml:space="preserve"> </w:t>
      </w:r>
    </w:p>
    <w:p w14:paraId="27C3E47D" w14:textId="77777777" w:rsidR="009E31C5" w:rsidRDefault="009E31C5" w:rsidP="009E31C5">
      <w:pPr>
        <w:pStyle w:val="Paragraphedeliste"/>
        <w:bidi/>
        <w:spacing w:after="0"/>
        <w:ind w:left="283"/>
        <w:jc w:val="both"/>
        <w:rPr>
          <w:rFonts w:ascii="Arial" w:hAnsi="Arial" w:cs="Arial" w:hint="cs"/>
          <w:rtl/>
        </w:rPr>
      </w:pPr>
    </w:p>
    <w:p w14:paraId="21214A9B" w14:textId="10E226EC" w:rsidR="009E31C5" w:rsidRDefault="009E31C5" w:rsidP="009E31C5">
      <w:pPr>
        <w:pStyle w:val="Paragraphedeliste"/>
        <w:bidi/>
        <w:spacing w:after="0"/>
        <w:ind w:left="283"/>
        <w:jc w:val="both"/>
        <w:rPr>
          <w:rFonts w:ascii="Arial" w:hAnsi="Arial" w:cs="Arial" w:hint="cs"/>
          <w:rtl/>
        </w:rPr>
      </w:pPr>
      <w:r>
        <w:rPr>
          <w:rFonts w:ascii="Arial" w:hAnsi="Arial" w:cs="Arial" w:hint="cs"/>
          <w:rtl/>
        </w:rPr>
        <w:t>وبعد، طبقا للفقرة 2 من المادة 41 من اتفاقية قيانا للعلاقات الديبلوماسية لسنة 1961 وللأمر عدد 1242 لسنة 1984، المؤرخ في 20 أكتوبر 1984 المتعلق بتنظيم مشمولات وزارة الشؤون الخارجية، فقد تم ضبط جملة من القولعد والإجراءات التي يتعين مراعاتها في تنظيم الاتصالات بين الهياكل العمومية وممثلي الدول الأجنبية والمنظمات الدولية.</w:t>
      </w:r>
    </w:p>
    <w:p w14:paraId="1C0542D8" w14:textId="77777777" w:rsidR="009E31C5" w:rsidRDefault="009E31C5" w:rsidP="009E31C5">
      <w:pPr>
        <w:pStyle w:val="Paragraphedeliste"/>
        <w:bidi/>
        <w:spacing w:after="0"/>
        <w:ind w:left="283"/>
        <w:jc w:val="both"/>
        <w:rPr>
          <w:rFonts w:ascii="Arial" w:hAnsi="Arial" w:cs="Arial" w:hint="cs"/>
          <w:rtl/>
        </w:rPr>
      </w:pPr>
    </w:p>
    <w:p w14:paraId="4EFBE607" w14:textId="6B6508EC" w:rsidR="009E31C5" w:rsidRDefault="009E31C5" w:rsidP="009E31C5">
      <w:pPr>
        <w:pStyle w:val="Paragraphedeliste"/>
        <w:bidi/>
        <w:spacing w:after="0"/>
        <w:ind w:left="283"/>
        <w:jc w:val="both"/>
        <w:rPr>
          <w:rFonts w:ascii="Arial" w:hAnsi="Arial" w:cs="Arial" w:hint="cs"/>
          <w:rtl/>
        </w:rPr>
      </w:pPr>
      <w:r>
        <w:rPr>
          <w:rFonts w:ascii="Arial" w:hAnsi="Arial" w:cs="Arial" w:hint="cs"/>
          <w:rtl/>
        </w:rPr>
        <w:t>وحرصا على ضمان تنسيق أنجع في مجال علاقاتنا الخارجية ، فإنه يجدر التذكير من جديد بهذه الإجراءات التي تم تعميمها في مناشير سابقة.</w:t>
      </w:r>
    </w:p>
    <w:p w14:paraId="27D9100B" w14:textId="77777777" w:rsidR="00AE2ACA" w:rsidRPr="00AE2ACA" w:rsidRDefault="00AE2ACA" w:rsidP="00AE2ACA">
      <w:pPr>
        <w:bidi/>
        <w:spacing w:after="0"/>
        <w:jc w:val="both"/>
        <w:rPr>
          <w:rFonts w:ascii="Arial" w:hAnsi="Arial" w:cs="Arial" w:hint="cs"/>
          <w:rtl/>
        </w:rPr>
      </w:pPr>
    </w:p>
    <w:p w14:paraId="03F50F9F" w14:textId="2FDFED2B" w:rsidR="009E31C5" w:rsidRDefault="009E31C5" w:rsidP="00AE2ACA">
      <w:pPr>
        <w:pStyle w:val="Paragraphedeliste"/>
        <w:numPr>
          <w:ilvl w:val="0"/>
          <w:numId w:val="35"/>
        </w:numPr>
        <w:bidi/>
        <w:spacing w:after="0"/>
        <w:ind w:left="927"/>
        <w:jc w:val="both"/>
        <w:rPr>
          <w:rFonts w:ascii="Arial" w:hAnsi="Arial" w:cs="Arial" w:hint="cs"/>
        </w:rPr>
      </w:pPr>
      <w:r>
        <w:rPr>
          <w:rFonts w:ascii="Arial" w:hAnsi="Arial" w:cs="Arial" w:hint="cs"/>
          <w:rtl/>
        </w:rPr>
        <w:t xml:space="preserve">توجيه البعثات الديبلوماسية وممثليات المنظمات الدولية والإقليمية المعتمدة بتونس التي ترغب في غجراء مقابلات مع المسؤولين التونسيين الى تقديم طلبها إلى إدارة التشريفات الديبلوماسية بوزارة الشؤون </w:t>
      </w:r>
      <w:r w:rsidR="00F968ED">
        <w:rPr>
          <w:rFonts w:ascii="Arial" w:hAnsi="Arial" w:cs="Arial" w:hint="cs"/>
          <w:rtl/>
        </w:rPr>
        <w:t xml:space="preserve">الخارجية التي تتولى ترتيب المواعيد المطلوبة بالتنسيق مع الهياكل العمومية المعنية بالسرعة والنجاعة المطلوبتين، </w:t>
      </w:r>
    </w:p>
    <w:p w14:paraId="03091D75" w14:textId="77777777" w:rsidR="00AE2ACA" w:rsidRDefault="00AE2ACA" w:rsidP="00AE2ACA">
      <w:pPr>
        <w:pStyle w:val="Paragraphedeliste"/>
        <w:bidi/>
        <w:spacing w:after="0"/>
        <w:ind w:left="567"/>
        <w:jc w:val="both"/>
        <w:rPr>
          <w:rFonts w:ascii="Arial" w:hAnsi="Arial" w:cs="Arial" w:hint="cs"/>
        </w:rPr>
      </w:pPr>
    </w:p>
    <w:p w14:paraId="27D4F5A1" w14:textId="68CB8DEA" w:rsidR="00F968ED" w:rsidRDefault="00F968ED" w:rsidP="00AE2ACA">
      <w:pPr>
        <w:pStyle w:val="Paragraphedeliste"/>
        <w:numPr>
          <w:ilvl w:val="0"/>
          <w:numId w:val="35"/>
        </w:numPr>
        <w:bidi/>
        <w:spacing w:after="0"/>
        <w:ind w:left="927"/>
        <w:jc w:val="both"/>
        <w:rPr>
          <w:rFonts w:ascii="Arial" w:hAnsi="Arial" w:cs="Arial" w:hint="cs"/>
        </w:rPr>
      </w:pPr>
      <w:r>
        <w:rPr>
          <w:rFonts w:ascii="Arial" w:hAnsi="Arial" w:cs="Arial" w:hint="cs"/>
          <w:rtl/>
        </w:rPr>
        <w:t>تمكين ممثل عن وزارة الشؤون الخارجية من حضور المقابلات التي يتم ترتيبها مع الشخصيات الأجنبية، ويتكفل هذا الأخير بتوقير المعلومات اللازمة إلى الطرف التونسي قصد تسهيل المحادثات كما يتولى إعداد ملخص كتابي عن فحوى المقابلة يوجه نسخة منه إلى رئاسة الحكومة.</w:t>
      </w:r>
    </w:p>
    <w:p w14:paraId="32AB9569" w14:textId="77777777" w:rsidR="00AE2ACA" w:rsidRPr="00AE2ACA" w:rsidRDefault="00AE2ACA" w:rsidP="00AE2ACA">
      <w:pPr>
        <w:pStyle w:val="Paragraphedeliste"/>
        <w:ind w:left="567"/>
        <w:rPr>
          <w:rFonts w:ascii="Arial" w:hAnsi="Arial" w:cs="Arial" w:hint="cs"/>
          <w:rtl/>
        </w:rPr>
      </w:pPr>
    </w:p>
    <w:p w14:paraId="0FBBCCC7" w14:textId="77777777" w:rsidR="00AE2ACA" w:rsidRDefault="00AE2ACA" w:rsidP="00AE2ACA">
      <w:pPr>
        <w:pStyle w:val="Paragraphedeliste"/>
        <w:bidi/>
        <w:spacing w:after="0"/>
        <w:ind w:left="567"/>
        <w:jc w:val="both"/>
        <w:rPr>
          <w:rFonts w:ascii="Arial" w:hAnsi="Arial" w:cs="Arial" w:hint="cs"/>
        </w:rPr>
      </w:pPr>
    </w:p>
    <w:p w14:paraId="06EDB87F" w14:textId="7FFD4093" w:rsidR="00F968ED" w:rsidRDefault="00C63705" w:rsidP="00AE2ACA">
      <w:pPr>
        <w:pStyle w:val="Paragraphedeliste"/>
        <w:numPr>
          <w:ilvl w:val="0"/>
          <w:numId w:val="35"/>
        </w:numPr>
        <w:bidi/>
        <w:spacing w:after="0"/>
        <w:ind w:left="927"/>
        <w:jc w:val="both"/>
        <w:rPr>
          <w:rFonts w:ascii="Arial" w:hAnsi="Arial" w:cs="Arial" w:hint="cs"/>
        </w:rPr>
      </w:pPr>
      <w:r>
        <w:rPr>
          <w:rFonts w:ascii="Arial" w:hAnsi="Arial" w:cs="Arial" w:hint="cs"/>
          <w:rtl/>
        </w:rPr>
        <w:t xml:space="preserve">توجيه المراسلات الرسمية إلى الجهات الأجنبية غير مصالح وزارة الشؤون الخارجية، التي تتولى بدورها إحالة ما يرد عليها من مراسلات صادرة عن الجهات الأجنبية إلى الهياكل التونسيةالمعنية، </w:t>
      </w:r>
    </w:p>
    <w:p w14:paraId="1AED977B" w14:textId="77777777" w:rsidR="00AE2ACA" w:rsidRDefault="00AE2ACA" w:rsidP="00AE2ACA">
      <w:pPr>
        <w:pStyle w:val="Paragraphedeliste"/>
        <w:bidi/>
        <w:spacing w:after="0"/>
        <w:ind w:left="567"/>
        <w:jc w:val="both"/>
        <w:rPr>
          <w:rFonts w:ascii="Arial" w:hAnsi="Arial" w:cs="Arial" w:hint="cs"/>
        </w:rPr>
      </w:pPr>
    </w:p>
    <w:p w14:paraId="3A08D5C2" w14:textId="0F9CC3B7" w:rsidR="00C63705" w:rsidRDefault="00C63705" w:rsidP="00AE2ACA">
      <w:pPr>
        <w:pStyle w:val="Paragraphedeliste"/>
        <w:numPr>
          <w:ilvl w:val="0"/>
          <w:numId w:val="35"/>
        </w:numPr>
        <w:bidi/>
        <w:spacing w:after="0"/>
        <w:ind w:left="927"/>
        <w:jc w:val="both"/>
        <w:rPr>
          <w:rFonts w:ascii="Arial" w:hAnsi="Arial" w:cs="Arial" w:hint="cs"/>
        </w:rPr>
      </w:pPr>
      <w:r>
        <w:rPr>
          <w:rFonts w:ascii="Arial" w:hAnsi="Arial" w:cs="Arial" w:hint="cs"/>
          <w:rtl/>
        </w:rPr>
        <w:t>إعلام رئاسة الحكومة ووزارة الشؤون الخارجية مسبقا بالزيارات التي تقوم بها الوفود أو الشخصيات الأجنبية إلى تونس.</w:t>
      </w:r>
    </w:p>
    <w:p w14:paraId="5F77BD0F" w14:textId="77777777" w:rsidR="00C63705" w:rsidRDefault="00C63705" w:rsidP="00AE2ACA">
      <w:pPr>
        <w:pStyle w:val="Paragraphedeliste"/>
        <w:bidi/>
        <w:spacing w:after="0"/>
        <w:ind w:left="567"/>
        <w:jc w:val="both"/>
        <w:rPr>
          <w:rFonts w:ascii="Arial" w:hAnsi="Arial" w:cs="Arial" w:hint="cs"/>
          <w:rtl/>
        </w:rPr>
      </w:pPr>
    </w:p>
    <w:p w14:paraId="5A42376B" w14:textId="77777777" w:rsidR="00AE2ACA" w:rsidRDefault="00C63705" w:rsidP="00AE2ACA">
      <w:pPr>
        <w:pStyle w:val="Paragraphedeliste"/>
        <w:bidi/>
        <w:spacing w:after="0"/>
        <w:ind w:left="283"/>
        <w:jc w:val="both"/>
        <w:rPr>
          <w:rFonts w:ascii="Arial" w:hAnsi="Arial" w:cs="Arial" w:hint="cs"/>
          <w:rtl/>
        </w:rPr>
      </w:pPr>
      <w:r>
        <w:rPr>
          <w:rFonts w:ascii="Arial" w:hAnsi="Arial" w:cs="Arial" w:hint="cs"/>
          <w:rtl/>
        </w:rPr>
        <w:t xml:space="preserve">أما فيما يخص المهمات التي يقوم بها الإطارات والأعوان العموميون التونسيون سواء في إطار مأموريات بالخارج أو في إطار دعوات موجهة إليهم من قيل جهات أجنبية، فإنه يجدر التذكير بضرورة التنسيق المسبق بشأنها مع وزارة الشؤون الخارجية حتى يتسنى إعلام البعثات الدبلوماسية أو القنصلية التونسية ببلدان الاعتماد بما يمكنها من توفير التسهيلات الضرورية لإنجاح هذه المهمات. </w:t>
      </w:r>
    </w:p>
    <w:p w14:paraId="0A8D80FA" w14:textId="77777777" w:rsidR="00AE2ACA" w:rsidRDefault="00AE2ACA" w:rsidP="00AE2ACA">
      <w:pPr>
        <w:pStyle w:val="Paragraphedeliste"/>
        <w:bidi/>
        <w:spacing w:after="0"/>
        <w:ind w:left="283"/>
        <w:jc w:val="both"/>
        <w:rPr>
          <w:rFonts w:ascii="Arial" w:hAnsi="Arial" w:cs="Arial" w:hint="cs"/>
          <w:rtl/>
        </w:rPr>
      </w:pPr>
    </w:p>
    <w:p w14:paraId="4EDB6F8C" w14:textId="3954F025" w:rsidR="00C63705" w:rsidRPr="00AE2ACA" w:rsidRDefault="00C63705" w:rsidP="00AE2ACA">
      <w:pPr>
        <w:pStyle w:val="Paragraphedeliste"/>
        <w:bidi/>
        <w:spacing w:after="0"/>
        <w:ind w:left="283"/>
        <w:jc w:val="both"/>
        <w:rPr>
          <w:rFonts w:ascii="Arial" w:hAnsi="Arial" w:cs="Arial" w:hint="cs"/>
          <w:rtl/>
        </w:rPr>
      </w:pPr>
      <w:r w:rsidRPr="00AE2ACA">
        <w:rPr>
          <w:rFonts w:ascii="Arial" w:hAnsi="Arial" w:cs="Arial" w:hint="cs"/>
          <w:rtl/>
        </w:rPr>
        <w:t>وعموما، يتعين على موظفي وأعوان الدولة الموفدين في مأموريات إلى الخارج الاتصال، عند حلولهم ببلد الزيارة، برؤساء بعثاتنا الدبلوماسية أو القنصلية أو من ينوبهم في بلد الاعتماد قصد إعلامهم والتنسيق معهم في خصوص المسائل التي تنقلوا من أجلها. كما أن الإطارات والأعوان العموميون مدعوون، مباشرة بعد  عودتهم إلى تونس، إلى إعداد  تثرير ملخص عن مهمتهم بالخارج ونتائجها وتوجيه نسخة منه إلى رئاسى الحكومة.</w:t>
      </w:r>
    </w:p>
    <w:p w14:paraId="3A9C5361" w14:textId="77777777" w:rsidR="00C63705" w:rsidRDefault="00C63705" w:rsidP="00AE2ACA">
      <w:pPr>
        <w:pStyle w:val="Paragraphedeliste"/>
        <w:bidi/>
        <w:spacing w:after="0"/>
        <w:ind w:left="283"/>
        <w:jc w:val="both"/>
        <w:rPr>
          <w:rFonts w:ascii="Arial" w:hAnsi="Arial" w:cs="Arial" w:hint="cs"/>
          <w:rtl/>
        </w:rPr>
      </w:pPr>
    </w:p>
    <w:p w14:paraId="445C0345" w14:textId="77777777" w:rsidR="00AE2ACA" w:rsidRDefault="00C63705" w:rsidP="00AE2ACA">
      <w:pPr>
        <w:pStyle w:val="Paragraphedeliste"/>
        <w:bidi/>
        <w:spacing w:after="0"/>
        <w:ind w:left="283"/>
        <w:jc w:val="both"/>
        <w:rPr>
          <w:rFonts w:ascii="Arial" w:hAnsi="Arial" w:cs="Arial" w:hint="cs"/>
          <w:rtl/>
        </w:rPr>
      </w:pPr>
      <w:r>
        <w:rPr>
          <w:rFonts w:ascii="Arial" w:hAnsi="Arial" w:cs="Arial" w:hint="cs"/>
          <w:rtl/>
        </w:rPr>
        <w:t xml:space="preserve">وبالنظر إلى الأهمية البالغة التي تكتسيها هذه الإجراءات، يرجى من السيدات والسادة الوزراء وكتاب الدولة إيلاء هذا المنشور ما يستحق من عناية </w:t>
      </w:r>
      <w:r w:rsidR="00AE2ACA">
        <w:rPr>
          <w:rFonts w:ascii="Arial" w:hAnsi="Arial" w:cs="Arial" w:hint="cs"/>
          <w:rtl/>
        </w:rPr>
        <w:t>وحث منظوريهم على الالتزام بمقتضياته.</w:t>
      </w:r>
    </w:p>
    <w:p w14:paraId="3AE0E493" w14:textId="77777777" w:rsidR="00AE2ACA" w:rsidRDefault="00AE2ACA" w:rsidP="00AE2ACA">
      <w:pPr>
        <w:pStyle w:val="Paragraphedeliste"/>
        <w:bidi/>
        <w:spacing w:after="0"/>
        <w:ind w:left="567"/>
        <w:jc w:val="both"/>
        <w:rPr>
          <w:rFonts w:ascii="Arial" w:hAnsi="Arial" w:cs="Arial" w:hint="cs"/>
          <w:rtl/>
        </w:rPr>
      </w:pPr>
    </w:p>
    <w:p w14:paraId="75AECAE5" w14:textId="60ADB517" w:rsidR="00C63705" w:rsidRPr="00AE2ACA" w:rsidRDefault="00AE2ACA" w:rsidP="00AE2ACA">
      <w:pPr>
        <w:pStyle w:val="Paragraphedeliste"/>
        <w:bidi/>
        <w:spacing w:after="0"/>
        <w:ind w:left="5102"/>
        <w:jc w:val="both"/>
        <w:rPr>
          <w:rFonts w:ascii="Arial" w:hAnsi="Arial" w:cs="Arial"/>
          <w:b/>
          <w:bCs/>
          <w:rtl/>
        </w:rPr>
      </w:pPr>
      <w:r w:rsidRPr="00AE2ACA">
        <w:rPr>
          <w:rFonts w:ascii="Arial" w:hAnsi="Arial" w:cs="Arial" w:hint="cs"/>
          <w:b/>
          <w:bCs/>
          <w:rtl/>
        </w:rPr>
        <w:t xml:space="preserve">والسلام </w:t>
      </w:r>
      <w:r w:rsidR="00C63705" w:rsidRPr="00AE2ACA">
        <w:rPr>
          <w:rFonts w:ascii="Arial" w:hAnsi="Arial" w:cs="Arial" w:hint="cs"/>
          <w:b/>
          <w:bCs/>
          <w:rtl/>
        </w:rPr>
        <w:t xml:space="preserve"> </w:t>
      </w:r>
    </w:p>
    <w:sectPr w:rsidR="00C63705" w:rsidRPr="00AE2ACA" w:rsidSect="00C9512C">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ACFB5" w14:textId="77777777" w:rsidR="00601F06" w:rsidRDefault="00601F06" w:rsidP="008F3F2D">
      <w:r>
        <w:separator/>
      </w:r>
    </w:p>
  </w:endnote>
  <w:endnote w:type="continuationSeparator" w:id="0">
    <w:p w14:paraId="5D9CFEA5" w14:textId="77777777" w:rsidR="00601F06" w:rsidRDefault="00601F0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34EA5">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34EA5">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34EA5">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34EA5">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01F0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01F06">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01F0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01F06">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6E11A" w14:textId="77777777" w:rsidR="000856EB" w:rsidRDefault="000856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B237E" w14:textId="77777777" w:rsidR="00601F06" w:rsidRDefault="00601F06" w:rsidP="00696990">
      <w:pPr>
        <w:bidi/>
        <w:jc w:val="both"/>
      </w:pPr>
      <w:r>
        <w:separator/>
      </w:r>
    </w:p>
  </w:footnote>
  <w:footnote w:type="continuationSeparator" w:id="0">
    <w:p w14:paraId="30CDA4B4" w14:textId="77777777" w:rsidR="00601F06" w:rsidRDefault="00601F06"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DABB7" w14:textId="77777777" w:rsidR="000856EB" w:rsidRDefault="000856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D25"/>
    <w:multiLevelType w:val="hybridMultilevel"/>
    <w:tmpl w:val="888278D4"/>
    <w:lvl w:ilvl="0" w:tplc="B93CAB24">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61D2943"/>
    <w:multiLevelType w:val="hybridMultilevel"/>
    <w:tmpl w:val="7596732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8C22943"/>
    <w:multiLevelType w:val="hybridMultilevel"/>
    <w:tmpl w:val="2F3EECE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09763346"/>
    <w:multiLevelType w:val="hybridMultilevel"/>
    <w:tmpl w:val="84A8888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0AD238D4"/>
    <w:multiLevelType w:val="hybridMultilevel"/>
    <w:tmpl w:val="A8F41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2E7975"/>
    <w:multiLevelType w:val="hybridMultilevel"/>
    <w:tmpl w:val="6A7C955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D13A76"/>
    <w:multiLevelType w:val="hybridMultilevel"/>
    <w:tmpl w:val="933E5222"/>
    <w:lvl w:ilvl="0" w:tplc="040C000F">
      <w:start w:val="1"/>
      <w:numFmt w:val="decimal"/>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7">
    <w:nsid w:val="15330BDA"/>
    <w:multiLevelType w:val="hybridMultilevel"/>
    <w:tmpl w:val="B4CA5918"/>
    <w:lvl w:ilvl="0" w:tplc="D8DC3080">
      <w:numFmt w:val="bullet"/>
      <w:lvlText w:val="̶"/>
      <w:lvlJc w:val="left"/>
      <w:pPr>
        <w:ind w:left="1854" w:hanging="360"/>
      </w:pPr>
      <w:rPr>
        <w:rFonts w:ascii="Arial" w:eastAsiaTheme="minorEastAsia" w:hAnsi="Aria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nsid w:val="1A487B0A"/>
    <w:multiLevelType w:val="hybridMultilevel"/>
    <w:tmpl w:val="1E900114"/>
    <w:lvl w:ilvl="0" w:tplc="D8DC3080">
      <w:numFmt w:val="bullet"/>
      <w:lvlText w:val="̶"/>
      <w:lvlJc w:val="left"/>
      <w:pPr>
        <w:ind w:left="1080" w:hanging="360"/>
      </w:pPr>
      <w:rPr>
        <w:rFonts w:ascii="Arial" w:eastAsiaTheme="minorEastAsia" w:hAnsi="Aria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1AED1DE1"/>
    <w:multiLevelType w:val="hybridMultilevel"/>
    <w:tmpl w:val="018CD5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A41322"/>
    <w:multiLevelType w:val="hybridMultilevel"/>
    <w:tmpl w:val="5492BBA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23D6021C"/>
    <w:multiLevelType w:val="hybridMultilevel"/>
    <w:tmpl w:val="58205A0E"/>
    <w:lvl w:ilvl="0" w:tplc="D8DC3080">
      <w:numFmt w:val="bullet"/>
      <w:lvlText w:val="̶"/>
      <w:lvlJc w:val="left"/>
      <w:pPr>
        <w:ind w:left="1080" w:hanging="360"/>
      </w:pPr>
      <w:rPr>
        <w:rFonts w:ascii="Arial" w:eastAsiaTheme="minorEastAsia"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4D6629D"/>
    <w:multiLevelType w:val="hybridMultilevel"/>
    <w:tmpl w:val="73D04F9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25613C9F"/>
    <w:multiLevelType w:val="hybridMultilevel"/>
    <w:tmpl w:val="BA4EE386"/>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5EA2E75"/>
    <w:multiLevelType w:val="hybridMultilevel"/>
    <w:tmpl w:val="03CAA2F4"/>
    <w:lvl w:ilvl="0" w:tplc="040C0001">
      <w:start w:val="1"/>
      <w:numFmt w:val="bullet"/>
      <w:lvlText w:val=""/>
      <w:lvlJc w:val="left"/>
      <w:pPr>
        <w:ind w:left="1723" w:hanging="360"/>
      </w:pPr>
      <w:rPr>
        <w:rFonts w:ascii="Symbol" w:hAnsi="Symbol"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abstractNum w:abstractNumId="15">
    <w:nsid w:val="26971F79"/>
    <w:multiLevelType w:val="hybridMultilevel"/>
    <w:tmpl w:val="4FA007CE"/>
    <w:lvl w:ilvl="0" w:tplc="D8DC3080">
      <w:numFmt w:val="bullet"/>
      <w:lvlText w:val="̶"/>
      <w:lvlJc w:val="left"/>
      <w:pPr>
        <w:ind w:left="1004" w:hanging="360"/>
      </w:pPr>
      <w:rPr>
        <w:rFonts w:ascii="Arial" w:eastAsiaTheme="minorEastAsia" w:hAnsi="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nsid w:val="2D44426A"/>
    <w:multiLevelType w:val="hybridMultilevel"/>
    <w:tmpl w:val="4970C4E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32CA25C1"/>
    <w:multiLevelType w:val="hybridMultilevel"/>
    <w:tmpl w:val="1EE0C6C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3D907DFA"/>
    <w:multiLevelType w:val="hybridMultilevel"/>
    <w:tmpl w:val="8702CFE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9279FA"/>
    <w:multiLevelType w:val="hybridMultilevel"/>
    <w:tmpl w:val="748EDD14"/>
    <w:lvl w:ilvl="0" w:tplc="D8DC3080">
      <w:numFmt w:val="bullet"/>
      <w:lvlText w:val="̶"/>
      <w:lvlJc w:val="left"/>
      <w:pPr>
        <w:ind w:left="1080" w:hanging="360"/>
      </w:pPr>
      <w:rPr>
        <w:rFonts w:ascii="Arial" w:eastAsiaTheme="minorEastAsia" w:hAnsi="Aria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3FF44649"/>
    <w:multiLevelType w:val="hybridMultilevel"/>
    <w:tmpl w:val="32683EB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nsid w:val="4A4E5906"/>
    <w:multiLevelType w:val="hybridMultilevel"/>
    <w:tmpl w:val="0B623218"/>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D2D06CC"/>
    <w:multiLevelType w:val="hybridMultilevel"/>
    <w:tmpl w:val="E730D02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53192989"/>
    <w:multiLevelType w:val="hybridMultilevel"/>
    <w:tmpl w:val="686A1230"/>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A426FB7"/>
    <w:multiLevelType w:val="hybridMultilevel"/>
    <w:tmpl w:val="4434F7B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5A5C31CD"/>
    <w:multiLevelType w:val="hybridMultilevel"/>
    <w:tmpl w:val="62BE72A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nsid w:val="6A37051E"/>
    <w:multiLevelType w:val="hybridMultilevel"/>
    <w:tmpl w:val="05FC06AE"/>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7">
    <w:nsid w:val="6A504529"/>
    <w:multiLevelType w:val="hybridMultilevel"/>
    <w:tmpl w:val="0210A12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nsid w:val="70151CD9"/>
    <w:multiLevelType w:val="hybridMultilevel"/>
    <w:tmpl w:val="C5FCEA1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01C3FDE"/>
    <w:multiLevelType w:val="hybridMultilevel"/>
    <w:tmpl w:val="EEA0092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7373428F"/>
    <w:multiLevelType w:val="hybridMultilevel"/>
    <w:tmpl w:val="5C326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B70B3F"/>
    <w:multiLevelType w:val="hybridMultilevel"/>
    <w:tmpl w:val="339C77D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787863D4"/>
    <w:multiLevelType w:val="hybridMultilevel"/>
    <w:tmpl w:val="1AD81916"/>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3">
    <w:nsid w:val="798D7585"/>
    <w:multiLevelType w:val="hybridMultilevel"/>
    <w:tmpl w:val="64EC2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D2A7596"/>
    <w:multiLevelType w:val="hybridMultilevel"/>
    <w:tmpl w:val="B56EE78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2"/>
  </w:num>
  <w:num w:numId="3">
    <w:abstractNumId w:val="6"/>
  </w:num>
  <w:num w:numId="4">
    <w:abstractNumId w:val="18"/>
  </w:num>
  <w:num w:numId="5">
    <w:abstractNumId w:val="20"/>
  </w:num>
  <w:num w:numId="6">
    <w:abstractNumId w:val="15"/>
  </w:num>
  <w:num w:numId="7">
    <w:abstractNumId w:val="1"/>
  </w:num>
  <w:num w:numId="8">
    <w:abstractNumId w:val="17"/>
  </w:num>
  <w:num w:numId="9">
    <w:abstractNumId w:val="34"/>
  </w:num>
  <w:num w:numId="10">
    <w:abstractNumId w:val="29"/>
  </w:num>
  <w:num w:numId="11">
    <w:abstractNumId w:val="9"/>
  </w:num>
  <w:num w:numId="12">
    <w:abstractNumId w:val="4"/>
  </w:num>
  <w:num w:numId="13">
    <w:abstractNumId w:val="33"/>
  </w:num>
  <w:num w:numId="14">
    <w:abstractNumId w:val="30"/>
  </w:num>
  <w:num w:numId="15">
    <w:abstractNumId w:val="16"/>
  </w:num>
  <w:num w:numId="16">
    <w:abstractNumId w:val="0"/>
  </w:num>
  <w:num w:numId="17">
    <w:abstractNumId w:val="21"/>
  </w:num>
  <w:num w:numId="18">
    <w:abstractNumId w:val="8"/>
  </w:num>
  <w:num w:numId="19">
    <w:abstractNumId w:val="23"/>
  </w:num>
  <w:num w:numId="20">
    <w:abstractNumId w:val="11"/>
  </w:num>
  <w:num w:numId="21">
    <w:abstractNumId w:val="13"/>
  </w:num>
  <w:num w:numId="22">
    <w:abstractNumId w:val="7"/>
  </w:num>
  <w:num w:numId="23">
    <w:abstractNumId w:val="28"/>
  </w:num>
  <w:num w:numId="24">
    <w:abstractNumId w:val="19"/>
  </w:num>
  <w:num w:numId="25">
    <w:abstractNumId w:val="31"/>
  </w:num>
  <w:num w:numId="26">
    <w:abstractNumId w:val="3"/>
  </w:num>
  <w:num w:numId="27">
    <w:abstractNumId w:val="5"/>
  </w:num>
  <w:num w:numId="28">
    <w:abstractNumId w:val="12"/>
  </w:num>
  <w:num w:numId="29">
    <w:abstractNumId w:val="10"/>
  </w:num>
  <w:num w:numId="30">
    <w:abstractNumId w:val="25"/>
  </w:num>
  <w:num w:numId="31">
    <w:abstractNumId w:val="27"/>
  </w:num>
  <w:num w:numId="32">
    <w:abstractNumId w:val="2"/>
  </w:num>
  <w:num w:numId="33">
    <w:abstractNumId w:val="32"/>
  </w:num>
  <w:num w:numId="34">
    <w:abstractNumId w:val="14"/>
  </w:num>
  <w:num w:numId="35">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856EB"/>
    <w:rsid w:val="00095334"/>
    <w:rsid w:val="000B0D20"/>
    <w:rsid w:val="00100229"/>
    <w:rsid w:val="001259C1"/>
    <w:rsid w:val="00131332"/>
    <w:rsid w:val="00134668"/>
    <w:rsid w:val="00152992"/>
    <w:rsid w:val="001543CD"/>
    <w:rsid w:val="001C4FA9"/>
    <w:rsid w:val="001E5DD5"/>
    <w:rsid w:val="00200E4A"/>
    <w:rsid w:val="00201E31"/>
    <w:rsid w:val="00214CFF"/>
    <w:rsid w:val="00216479"/>
    <w:rsid w:val="00221463"/>
    <w:rsid w:val="00243D4D"/>
    <w:rsid w:val="00251672"/>
    <w:rsid w:val="002666C9"/>
    <w:rsid w:val="00273DF6"/>
    <w:rsid w:val="002A2B42"/>
    <w:rsid w:val="002B19EE"/>
    <w:rsid w:val="002C639E"/>
    <w:rsid w:val="003040F9"/>
    <w:rsid w:val="00354137"/>
    <w:rsid w:val="003752C0"/>
    <w:rsid w:val="0039071A"/>
    <w:rsid w:val="00393F3A"/>
    <w:rsid w:val="003A76D7"/>
    <w:rsid w:val="003B5639"/>
    <w:rsid w:val="003B6CD4"/>
    <w:rsid w:val="003E4DFF"/>
    <w:rsid w:val="003F1349"/>
    <w:rsid w:val="003F6ED1"/>
    <w:rsid w:val="004038CF"/>
    <w:rsid w:val="00407110"/>
    <w:rsid w:val="00425178"/>
    <w:rsid w:val="004529F4"/>
    <w:rsid w:val="00453596"/>
    <w:rsid w:val="00490B6E"/>
    <w:rsid w:val="004D03AF"/>
    <w:rsid w:val="004D4882"/>
    <w:rsid w:val="005058F3"/>
    <w:rsid w:val="005219FA"/>
    <w:rsid w:val="0052231B"/>
    <w:rsid w:val="00553D71"/>
    <w:rsid w:val="00580CC0"/>
    <w:rsid w:val="005D516D"/>
    <w:rsid w:val="005E2AA2"/>
    <w:rsid w:val="005F7BF4"/>
    <w:rsid w:val="00601F06"/>
    <w:rsid w:val="00614E8F"/>
    <w:rsid w:val="00655356"/>
    <w:rsid w:val="00675862"/>
    <w:rsid w:val="00684129"/>
    <w:rsid w:val="00690191"/>
    <w:rsid w:val="00696990"/>
    <w:rsid w:val="006B5391"/>
    <w:rsid w:val="006C103F"/>
    <w:rsid w:val="006C631D"/>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54D4D"/>
    <w:rsid w:val="0086081A"/>
    <w:rsid w:val="00867853"/>
    <w:rsid w:val="008A5B5D"/>
    <w:rsid w:val="008D59FA"/>
    <w:rsid w:val="008D73A6"/>
    <w:rsid w:val="008F3F2D"/>
    <w:rsid w:val="00923BD4"/>
    <w:rsid w:val="009248E7"/>
    <w:rsid w:val="00925024"/>
    <w:rsid w:val="0094212D"/>
    <w:rsid w:val="00957F0E"/>
    <w:rsid w:val="00972982"/>
    <w:rsid w:val="0097472C"/>
    <w:rsid w:val="009D2035"/>
    <w:rsid w:val="009E31C5"/>
    <w:rsid w:val="009E3917"/>
    <w:rsid w:val="00A00644"/>
    <w:rsid w:val="00A04F09"/>
    <w:rsid w:val="00A054EF"/>
    <w:rsid w:val="00A17F36"/>
    <w:rsid w:val="00A34AC4"/>
    <w:rsid w:val="00A52D91"/>
    <w:rsid w:val="00A70B9C"/>
    <w:rsid w:val="00A762A2"/>
    <w:rsid w:val="00A81D8F"/>
    <w:rsid w:val="00A879D2"/>
    <w:rsid w:val="00A90F21"/>
    <w:rsid w:val="00AD2268"/>
    <w:rsid w:val="00AE007A"/>
    <w:rsid w:val="00AE2ACA"/>
    <w:rsid w:val="00AF2B4A"/>
    <w:rsid w:val="00B05438"/>
    <w:rsid w:val="00B20589"/>
    <w:rsid w:val="00B337AE"/>
    <w:rsid w:val="00B617F1"/>
    <w:rsid w:val="00B84D27"/>
    <w:rsid w:val="00B924A3"/>
    <w:rsid w:val="00B93A0F"/>
    <w:rsid w:val="00BA0C42"/>
    <w:rsid w:val="00C00105"/>
    <w:rsid w:val="00C00B1C"/>
    <w:rsid w:val="00C017C7"/>
    <w:rsid w:val="00C1635D"/>
    <w:rsid w:val="00C34EA5"/>
    <w:rsid w:val="00C41295"/>
    <w:rsid w:val="00C57E3F"/>
    <w:rsid w:val="00C63705"/>
    <w:rsid w:val="00C63F47"/>
    <w:rsid w:val="00C64B86"/>
    <w:rsid w:val="00C81BBE"/>
    <w:rsid w:val="00C8468A"/>
    <w:rsid w:val="00C9512C"/>
    <w:rsid w:val="00CC08C8"/>
    <w:rsid w:val="00CC4ADF"/>
    <w:rsid w:val="00CE7620"/>
    <w:rsid w:val="00D07749"/>
    <w:rsid w:val="00D17590"/>
    <w:rsid w:val="00D20328"/>
    <w:rsid w:val="00D27C26"/>
    <w:rsid w:val="00D6739F"/>
    <w:rsid w:val="00D71817"/>
    <w:rsid w:val="00D90C2A"/>
    <w:rsid w:val="00D93F71"/>
    <w:rsid w:val="00DA3DA9"/>
    <w:rsid w:val="00DC5A92"/>
    <w:rsid w:val="00DF2B42"/>
    <w:rsid w:val="00E10A35"/>
    <w:rsid w:val="00E163A8"/>
    <w:rsid w:val="00E42FF8"/>
    <w:rsid w:val="00E503AA"/>
    <w:rsid w:val="00E55970"/>
    <w:rsid w:val="00E65013"/>
    <w:rsid w:val="00E953A2"/>
    <w:rsid w:val="00EB6782"/>
    <w:rsid w:val="00ED60E2"/>
    <w:rsid w:val="00F0326A"/>
    <w:rsid w:val="00F2277A"/>
    <w:rsid w:val="00F502A2"/>
    <w:rsid w:val="00F57B75"/>
    <w:rsid w:val="00F910AF"/>
    <w:rsid w:val="00F968ED"/>
    <w:rsid w:val="00F97404"/>
    <w:rsid w:val="00FB1EE6"/>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D532F-34EC-4282-AC2C-AC2CDDF3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2</cp:revision>
  <cp:lastPrinted>2012-07-16T08:37:00Z</cp:lastPrinted>
  <dcterms:created xsi:type="dcterms:W3CDTF">2015-03-02T15:43:00Z</dcterms:created>
  <dcterms:modified xsi:type="dcterms:W3CDTF">2015-03-02T15:43:00Z</dcterms:modified>
</cp:coreProperties>
</file>