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F5" w:rsidRDefault="00FE39F5" w:rsidP="00FE39F5">
      <w:pPr>
        <w:bidi/>
        <w:spacing w:before="100" w:beforeAutospacing="1" w:after="0" w:line="240" w:lineRule="auto"/>
        <w:ind w:left="284"/>
        <w:jc w:val="both"/>
        <w:rPr>
          <w:rFonts w:ascii="Arial" w:hAnsi="Arial"/>
          <w:b/>
          <w:bCs/>
          <w:rtl/>
          <w:lang w:bidi="ar-TN"/>
        </w:rPr>
      </w:pPr>
    </w:p>
    <w:p w:rsidR="00556A7B" w:rsidRPr="00556A7B" w:rsidRDefault="00C33147" w:rsidP="00556A7B">
      <w:pPr>
        <w:bidi/>
        <w:spacing w:before="100" w:beforeAutospacing="1" w:after="0" w:line="240" w:lineRule="auto"/>
        <w:ind w:left="284"/>
        <w:jc w:val="both"/>
        <w:rPr>
          <w:rFonts w:ascii="Arial" w:hAnsi="Arial"/>
          <w:b/>
          <w:bCs/>
          <w:sz w:val="24"/>
          <w:szCs w:val="24"/>
          <w:lang w:bidi="ar-TN"/>
        </w:rPr>
      </w:pPr>
      <w:r>
        <w:rPr>
          <w:rFonts w:ascii="Arial" w:hAnsi="Arial" w:hint="cs"/>
          <w:b/>
          <w:bCs/>
          <w:sz w:val="24"/>
          <w:szCs w:val="24"/>
          <w:rtl/>
          <w:lang w:bidi="ar-TN"/>
        </w:rPr>
        <w:t>مقترح</w:t>
      </w:r>
      <w:r w:rsidR="00556A7B" w:rsidRPr="00556A7B">
        <w:rPr>
          <w:rFonts w:ascii="Arial" w:hAnsi="Arial"/>
          <w:b/>
          <w:bCs/>
          <w:sz w:val="24"/>
          <w:szCs w:val="24"/>
          <w:rtl/>
          <w:lang w:bidi="ar-TN"/>
        </w:rPr>
        <w:t xml:space="preserve"> </w:t>
      </w:r>
      <w:r w:rsidR="00556A7B" w:rsidRPr="00556A7B">
        <w:rPr>
          <w:rFonts w:ascii="Arial" w:hAnsi="Arial" w:hint="cs"/>
          <w:b/>
          <w:bCs/>
          <w:sz w:val="24"/>
          <w:szCs w:val="24"/>
          <w:rtl/>
          <w:lang w:bidi="ar-TN"/>
        </w:rPr>
        <w:t>قانون</w:t>
      </w:r>
      <w:r w:rsidR="00556A7B" w:rsidRPr="00556A7B">
        <w:rPr>
          <w:rFonts w:ascii="Arial" w:hAnsi="Arial"/>
          <w:b/>
          <w:bCs/>
          <w:sz w:val="24"/>
          <w:szCs w:val="24"/>
          <w:rtl/>
          <w:lang w:bidi="ar-TN"/>
        </w:rPr>
        <w:t xml:space="preserve"> </w:t>
      </w:r>
      <w:r w:rsidR="00556A7B" w:rsidRPr="00556A7B">
        <w:rPr>
          <w:rFonts w:ascii="Arial" w:hAnsi="Arial" w:hint="cs"/>
          <w:b/>
          <w:bCs/>
          <w:sz w:val="24"/>
          <w:szCs w:val="24"/>
          <w:rtl/>
          <w:lang w:bidi="ar-TN"/>
        </w:rPr>
        <w:t xml:space="preserve">يتعلق </w:t>
      </w:r>
      <w:r>
        <w:rPr>
          <w:rFonts w:ascii="Arial" w:hAnsi="Arial" w:hint="cs"/>
          <w:b/>
          <w:bCs/>
          <w:sz w:val="24"/>
          <w:szCs w:val="24"/>
          <w:rtl/>
          <w:lang w:bidi="ar-TN"/>
        </w:rPr>
        <w:t>بتنقيح الفصول 114 و116 من مجلة حماية الطفل</w:t>
      </w:r>
      <w:r w:rsidR="00556A7B" w:rsidRPr="00556A7B">
        <w:rPr>
          <w:rFonts w:ascii="Arial" w:hAnsi="Arial" w:hint="cs"/>
          <w:b/>
          <w:bCs/>
          <w:sz w:val="24"/>
          <w:szCs w:val="24"/>
          <w:rtl/>
          <w:lang w:bidi="ar-TN"/>
        </w:rPr>
        <w:t xml:space="preserve"> </w:t>
      </w:r>
    </w:p>
    <w:p w:rsidR="00556A7B" w:rsidRDefault="00C33147" w:rsidP="00556A7B">
      <w:pPr>
        <w:bidi/>
        <w:spacing w:before="100" w:beforeAutospacing="1" w:after="0" w:line="240" w:lineRule="auto"/>
        <w:ind w:left="284"/>
        <w:jc w:val="both"/>
        <w:rPr>
          <w:rFonts w:ascii="Arial" w:hAnsi="Arial"/>
          <w:rtl/>
          <w:lang w:bidi="ar-TN"/>
        </w:rPr>
      </w:pPr>
      <w:r>
        <w:rPr>
          <w:rFonts w:ascii="Arial" w:hAnsi="Arial" w:hint="cs"/>
          <w:b/>
          <w:bCs/>
          <w:rtl/>
          <w:lang w:bidi="ar-TN"/>
        </w:rPr>
        <w:t xml:space="preserve">الفصل 114 جديد </w:t>
      </w:r>
      <w:r>
        <w:rPr>
          <w:rFonts w:ascii="Arial" w:hAnsi="Arial"/>
          <w:b/>
          <w:bCs/>
          <w:rtl/>
          <w:lang w:bidi="ar-TN"/>
        </w:rPr>
        <w:t>–</w:t>
      </w:r>
      <w:r>
        <w:rPr>
          <w:rFonts w:ascii="Arial" w:hAnsi="Arial" w:hint="cs"/>
          <w:b/>
          <w:bCs/>
          <w:rtl/>
          <w:lang w:bidi="ar-TN"/>
        </w:rPr>
        <w:t xml:space="preserve"> </w:t>
      </w:r>
      <w:r w:rsidRPr="00C33147">
        <w:rPr>
          <w:rFonts w:ascii="Arial" w:hAnsi="Arial" w:hint="cs"/>
          <w:rtl/>
          <w:lang w:bidi="ar-TN"/>
        </w:rPr>
        <w:t>يتوجب على قاضي الأطفال إجراء محاولة صلحية بين الأطراف حال تعهده بالملف. وله أن يستعين في ذلك بمن يراه صالحا.</w:t>
      </w:r>
    </w:p>
    <w:p w:rsidR="00C33147" w:rsidRDefault="00C33147" w:rsidP="00C33147">
      <w:pPr>
        <w:bidi/>
        <w:spacing w:before="100" w:beforeAutospacing="1" w:after="0" w:line="240" w:lineRule="auto"/>
        <w:ind w:left="284"/>
        <w:jc w:val="both"/>
        <w:rPr>
          <w:rFonts w:ascii="Arial" w:hAnsi="Arial" w:hint="cs"/>
          <w:rtl/>
          <w:lang w:bidi="ar-TN"/>
        </w:rPr>
      </w:pPr>
      <w:r>
        <w:rPr>
          <w:rFonts w:ascii="Arial" w:hAnsi="Arial" w:hint="cs"/>
          <w:b/>
          <w:bCs/>
          <w:rtl/>
          <w:lang w:bidi="ar-TN"/>
        </w:rPr>
        <w:t xml:space="preserve">الفصل 116 جديد </w:t>
      </w:r>
      <w:r>
        <w:rPr>
          <w:rFonts w:ascii="Arial" w:hAnsi="Arial"/>
          <w:b/>
          <w:bCs/>
          <w:rtl/>
          <w:lang w:bidi="ar-TN"/>
        </w:rPr>
        <w:t>–</w:t>
      </w:r>
      <w:r>
        <w:rPr>
          <w:rFonts w:ascii="Arial" w:hAnsi="Arial" w:hint="cs"/>
          <w:rtl/>
          <w:lang w:bidi="ar-TN"/>
        </w:rPr>
        <w:t xml:space="preserve"> يمكن أن يرفع مطلب الوساطة من قبل الطفل الجانح أو من ينوبه إلى مندوب حماية الطفولة الذي يسعى إلى ابرام الصلح بين الأطراف المعنية ويدونه في كتب ممضى ويرفعه إلى الجهة القضائية المختصة التي تعتده وتكسبه الصبغة التنفيذية ما لم يكن مخلا بالنظام العام أو الأخلاق الحميدة.</w:t>
      </w:r>
    </w:p>
    <w:p w:rsidR="00C33147" w:rsidRPr="00C33147" w:rsidRDefault="00C33147" w:rsidP="00C33147">
      <w:pPr>
        <w:bidi/>
        <w:spacing w:before="100" w:beforeAutospacing="1" w:after="0" w:line="240" w:lineRule="auto"/>
        <w:ind w:left="284"/>
        <w:jc w:val="both"/>
        <w:rPr>
          <w:rFonts w:ascii="Arial" w:hAnsi="Arial" w:hint="cs"/>
          <w:rtl/>
          <w:lang w:bidi="ar-TN"/>
        </w:rPr>
      </w:pPr>
      <w:r w:rsidRPr="00C33147">
        <w:rPr>
          <w:rFonts w:ascii="Arial" w:hAnsi="Arial" w:hint="cs"/>
          <w:rtl/>
          <w:lang w:bidi="ar-TN"/>
        </w:rPr>
        <w:t>ويجوز لقاضي الأطفال مراجعة كتب الصلح مراعاة لمصلحة الطفل الفضلى.</w:t>
      </w:r>
    </w:p>
    <w:p w:rsidR="00C33147" w:rsidRPr="00C33147" w:rsidRDefault="00C33147" w:rsidP="00C33147">
      <w:pPr>
        <w:bidi/>
        <w:spacing w:before="100" w:beforeAutospacing="1" w:after="0" w:line="240" w:lineRule="auto"/>
        <w:ind w:left="284"/>
        <w:jc w:val="both"/>
        <w:rPr>
          <w:rFonts w:ascii="Arial" w:hAnsi="Arial"/>
          <w:lang w:bidi="ar-TN"/>
        </w:rPr>
      </w:pPr>
      <w:r>
        <w:rPr>
          <w:rFonts w:ascii="Arial" w:hAnsi="Arial" w:hint="cs"/>
          <w:rtl/>
          <w:lang w:bidi="ar-TN"/>
        </w:rPr>
        <w:t>ويمكن إجراء الوساطة في كل وقت بداية من تاريخ اقتراف الفعلة إلى انتهاء تنفيذ القرار المسلط على الطفل سواء كان عقابا جزائا أو وسيلة وقائية.</w:t>
      </w:r>
      <w:bookmarkStart w:id="0" w:name="_GoBack"/>
      <w:bookmarkEnd w:id="0"/>
    </w:p>
    <w:p w:rsidR="00C33147" w:rsidRDefault="00C33147" w:rsidP="00C33147">
      <w:pPr>
        <w:bidi/>
        <w:spacing w:before="100" w:beforeAutospacing="1" w:after="0" w:line="240" w:lineRule="auto"/>
        <w:ind w:left="284"/>
        <w:jc w:val="both"/>
        <w:rPr>
          <w:rFonts w:ascii="Arial" w:hAnsi="Arial"/>
          <w:b/>
          <w:bCs/>
          <w:rtl/>
          <w:lang w:bidi="ar-TN"/>
        </w:rPr>
      </w:pPr>
    </w:p>
    <w:p w:rsidR="002E4E28" w:rsidRPr="008D0D57" w:rsidRDefault="00C33147" w:rsidP="00556A7B">
      <w:pPr>
        <w:bidi/>
        <w:spacing w:before="100" w:beforeAutospacing="1" w:after="0" w:line="240" w:lineRule="auto"/>
        <w:ind w:left="284"/>
        <w:jc w:val="both"/>
        <w:rPr>
          <w:rFonts w:ascii="Arial" w:hAnsi="Arial"/>
          <w:lang w:bidi="ar-TN"/>
        </w:rPr>
      </w:pPr>
    </w:p>
    <w:sectPr w:rsidR="002E4E28" w:rsidRPr="008D0D5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AF7" w:rsidRDefault="00734AF7">
      <w:pPr>
        <w:spacing w:after="0" w:line="240" w:lineRule="auto"/>
      </w:pPr>
      <w:r>
        <w:separator/>
      </w:r>
    </w:p>
  </w:endnote>
  <w:endnote w:type="continuationSeparator" w:id="0">
    <w:p w:rsidR="00734AF7" w:rsidRDefault="0073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D73C3">
                            <w:rPr>
                              <w:rFonts w:ascii="Arial" w:hAnsi="Arial"/>
                              <w:noProof/>
                              <w:sz w:val="18"/>
                              <w:szCs w:val="18"/>
                            </w:rPr>
                            <w:t>2</w:t>
                          </w:r>
                          <w:r w:rsidRPr="001E5DD5">
                            <w:rPr>
                              <w:rFonts w:ascii="Arial" w:hAnsi="Arial"/>
                              <w:noProof/>
                              <w:sz w:val="18"/>
                              <w:szCs w:val="18"/>
                            </w:rPr>
                            <w:fldChar w:fldCharType="end"/>
                          </w:r>
                        </w:p>
                        <w:p w:rsidR="00A34AD0" w:rsidRDefault="00C3314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D73C3">
                      <w:rPr>
                        <w:rFonts w:ascii="Arial" w:hAnsi="Arial"/>
                        <w:noProof/>
                        <w:sz w:val="18"/>
                        <w:szCs w:val="18"/>
                      </w:rPr>
                      <w:t>2</w:t>
                    </w:r>
                    <w:r w:rsidRPr="001E5DD5">
                      <w:rPr>
                        <w:rFonts w:ascii="Arial" w:hAnsi="Arial"/>
                        <w:noProof/>
                        <w:sz w:val="18"/>
                        <w:szCs w:val="18"/>
                      </w:rPr>
                      <w:fldChar w:fldCharType="end"/>
                    </w:r>
                  </w:p>
                  <w:p w:rsidR="00A34AD0" w:rsidRDefault="00734AF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3314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33147">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3314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33147">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AF7" w:rsidRDefault="00734AF7">
      <w:pPr>
        <w:spacing w:after="0" w:line="240" w:lineRule="auto"/>
      </w:pPr>
      <w:r>
        <w:separator/>
      </w:r>
    </w:p>
  </w:footnote>
  <w:footnote w:type="continuationSeparator" w:id="0">
    <w:p w:rsidR="00734AF7" w:rsidRDefault="0073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C33147"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734AF7"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C33147"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C3314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734AF7"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734AF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9F7"/>
    <w:multiLevelType w:val="hybridMultilevel"/>
    <w:tmpl w:val="9EA232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B412FE8"/>
    <w:multiLevelType w:val="hybridMultilevel"/>
    <w:tmpl w:val="1D2EE64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9E564C9"/>
    <w:multiLevelType w:val="hybridMultilevel"/>
    <w:tmpl w:val="70DE6F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A732CC4"/>
    <w:multiLevelType w:val="hybridMultilevel"/>
    <w:tmpl w:val="2D4879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BD078DC"/>
    <w:multiLevelType w:val="hybridMultilevel"/>
    <w:tmpl w:val="C1BA6EB2"/>
    <w:lvl w:ilvl="0" w:tplc="46C2FAFA">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F5"/>
    <w:rsid w:val="00182C27"/>
    <w:rsid w:val="001D73C3"/>
    <w:rsid w:val="004F2FE7"/>
    <w:rsid w:val="00556A7B"/>
    <w:rsid w:val="005A6D96"/>
    <w:rsid w:val="006E651F"/>
    <w:rsid w:val="00734AF7"/>
    <w:rsid w:val="007943CF"/>
    <w:rsid w:val="008D0D57"/>
    <w:rsid w:val="00A050EA"/>
    <w:rsid w:val="00AA7E95"/>
    <w:rsid w:val="00AF5773"/>
    <w:rsid w:val="00BC16DA"/>
    <w:rsid w:val="00C33147"/>
    <w:rsid w:val="00C547E8"/>
    <w:rsid w:val="00CF74DC"/>
    <w:rsid w:val="00D37C1F"/>
    <w:rsid w:val="00FE39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C701F"/>
  <w15:chartTrackingRefBased/>
  <w15:docId w15:val="{6A5E3EBD-A26A-43D2-AF32-F2E34236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FE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104</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2</cp:revision>
  <cp:lastPrinted>2017-08-04T14:01:00Z</cp:lastPrinted>
  <dcterms:created xsi:type="dcterms:W3CDTF">2017-09-07T15:13:00Z</dcterms:created>
  <dcterms:modified xsi:type="dcterms:W3CDTF">2017-09-07T15:13:00Z</dcterms:modified>
</cp:coreProperties>
</file>