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5" w:rsidRDefault="009C3CF5" w:rsidP="00C6392A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:rsidR="008724A0" w:rsidRDefault="008724A0" w:rsidP="00C6392A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r w:rsidRPr="008724A0">
        <w:rPr>
          <w:rFonts w:ascii="Arial" w:hAnsi="Arial"/>
          <w:b/>
          <w:bCs/>
          <w:sz w:val="24"/>
          <w:szCs w:val="24"/>
        </w:rPr>
        <w:t>Loi organique n° 2017-14 du 28 mars 2017, portant approbation de l’adhésion de la République Tunisienne à la convention relative à la signification et la notification à l’étranger des actes judiciaires et extrajudiciaires en matière civile ou commerciale, conclue le 15 novembre 1965 à La Haye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:rsidR="008724A0" w:rsidRDefault="008724A0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8724A0">
        <w:rPr>
          <w:rFonts w:ascii="Arial" w:hAnsi="Arial"/>
          <w:sz w:val="20"/>
          <w:szCs w:val="20"/>
        </w:rPr>
        <w:t xml:space="preserve">Au nom du peuple, </w:t>
      </w:r>
    </w:p>
    <w:p w:rsidR="00C6392A" w:rsidRPr="008724A0" w:rsidRDefault="00C6392A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724A0" w:rsidRPr="008724A0" w:rsidRDefault="008724A0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sz w:val="20"/>
          <w:szCs w:val="20"/>
        </w:rPr>
        <w:t xml:space="preserve">L’assemblée des représentants du peuple ayant adopté, 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724A0" w:rsidRPr="008724A0" w:rsidRDefault="008724A0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sz w:val="20"/>
          <w:szCs w:val="20"/>
        </w:rPr>
        <w:t>Le Président de la République promulgue la loi organique dont la teneur suit :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8724A0" w:rsidRPr="008724A0" w:rsidRDefault="008724A0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8724A0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8724A0">
        <w:rPr>
          <w:rFonts w:ascii="Arial" w:hAnsi="Arial"/>
          <w:sz w:val="20"/>
          <w:szCs w:val="20"/>
        </w:rPr>
        <w:t>Est approuvée, l’adhésion de la République Tunisienne à la convention relative à la signification et la notification à l’étranger des actes judiciaires et extrajudiciaires en matière civile ou commerciale, annexée à la présente loi organique et adoptée à La Haye le 15 novembre 1965.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8724A0" w:rsidRPr="008724A0" w:rsidRDefault="008724A0" w:rsidP="00C6392A">
      <w:pPr>
        <w:spacing w:before="120"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b/>
          <w:bCs/>
          <w:i/>
          <w:iCs/>
          <w:sz w:val="20"/>
          <w:szCs w:val="20"/>
        </w:rPr>
        <w:t>Art. 2</w:t>
      </w:r>
      <w:r w:rsidRPr="008724A0">
        <w:rPr>
          <w:rFonts w:ascii="Arial" w:hAnsi="Arial"/>
          <w:b/>
          <w:bCs/>
          <w:i/>
          <w:iCs/>
          <w:sz w:val="20"/>
          <w:szCs w:val="20"/>
        </w:rPr>
        <w:t xml:space="preserve"> – </w:t>
      </w:r>
      <w:r w:rsidRPr="008724A0">
        <w:rPr>
          <w:rFonts w:ascii="Arial" w:hAnsi="Arial"/>
          <w:sz w:val="20"/>
          <w:szCs w:val="20"/>
        </w:rPr>
        <w:t>Lors du dépôt des instruments d’adhésion, la République Tunisienne procédera aux déclarations suivantes :</w:t>
      </w:r>
    </w:p>
    <w:p w:rsidR="008724A0" w:rsidRPr="008724A0" w:rsidRDefault="008724A0" w:rsidP="00C6392A">
      <w:pPr>
        <w:spacing w:before="120"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b/>
          <w:bCs/>
          <w:sz w:val="20"/>
          <w:szCs w:val="20"/>
        </w:rPr>
        <w:t>Premièrement</w:t>
      </w:r>
      <w:r>
        <w:rPr>
          <w:rFonts w:ascii="Arial" w:hAnsi="Arial"/>
          <w:b/>
          <w:bCs/>
          <w:sz w:val="20"/>
          <w:szCs w:val="20"/>
        </w:rPr>
        <w:t xml:space="preserve"> – </w:t>
      </w:r>
      <w:r w:rsidRPr="008724A0">
        <w:rPr>
          <w:rFonts w:ascii="Arial" w:hAnsi="Arial"/>
          <w:sz w:val="20"/>
          <w:szCs w:val="20"/>
        </w:rPr>
        <w:t>La République Tunisienne s’oppose à l’utilisation du moyen de notification prévu à l’article 8 de la convention pour les personnes autres que les ressortissants de l’Etat à l’origine de la notification.</w:t>
      </w:r>
    </w:p>
    <w:p w:rsidR="008724A0" w:rsidRPr="008724A0" w:rsidRDefault="008724A0" w:rsidP="00C6392A">
      <w:pPr>
        <w:spacing w:before="120"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b/>
          <w:bCs/>
          <w:sz w:val="20"/>
          <w:szCs w:val="20"/>
        </w:rPr>
        <w:t>Deuxièmement</w:t>
      </w:r>
      <w:r>
        <w:rPr>
          <w:rFonts w:ascii="Arial" w:hAnsi="Arial"/>
          <w:b/>
          <w:bCs/>
          <w:sz w:val="20"/>
          <w:szCs w:val="20"/>
        </w:rPr>
        <w:t xml:space="preserve"> – </w:t>
      </w:r>
      <w:r w:rsidRPr="008724A0">
        <w:rPr>
          <w:rFonts w:ascii="Arial" w:hAnsi="Arial"/>
          <w:sz w:val="20"/>
          <w:szCs w:val="20"/>
        </w:rPr>
        <w:t>La République Tunisienne accepte les dispositions de l’article 15 de la convention.</w:t>
      </w:r>
    </w:p>
    <w:p w:rsidR="008724A0" w:rsidRPr="008724A0" w:rsidRDefault="008724A0" w:rsidP="00C6392A">
      <w:pPr>
        <w:spacing w:before="120"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b/>
          <w:bCs/>
          <w:sz w:val="20"/>
          <w:szCs w:val="20"/>
        </w:rPr>
        <w:t>Troisièmement</w:t>
      </w:r>
      <w:r>
        <w:rPr>
          <w:rFonts w:ascii="Arial" w:hAnsi="Arial"/>
          <w:b/>
          <w:bCs/>
          <w:sz w:val="20"/>
          <w:szCs w:val="20"/>
        </w:rPr>
        <w:t xml:space="preserve"> – </w:t>
      </w:r>
      <w:r w:rsidRPr="008724A0">
        <w:rPr>
          <w:rFonts w:ascii="Arial" w:hAnsi="Arial"/>
          <w:sz w:val="20"/>
          <w:szCs w:val="20"/>
        </w:rPr>
        <w:t xml:space="preserve">La République Tunisienne déclare que la demande de relever la forclusion par le défendeur, mentionnée à l’article 16 de la convention, est irrecevable si elle est formée après 12 mois, à compter du prononcé de la décision. 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724A0" w:rsidRPr="008724A0" w:rsidRDefault="008724A0" w:rsidP="00C6392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724A0">
        <w:rPr>
          <w:rFonts w:ascii="Arial" w:hAnsi="Arial"/>
          <w:sz w:val="20"/>
          <w:szCs w:val="20"/>
        </w:rPr>
        <w:t>La présente loi organique sera publiée au Journal Officiel de la République Tunisienne et exécutée comme loi de l'Etat.</w:t>
      </w:r>
    </w:p>
    <w:p w:rsidR="00C6392A" w:rsidRDefault="00C6392A" w:rsidP="00C6392A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</w:p>
    <w:p w:rsidR="008724A0" w:rsidRPr="008724A0" w:rsidRDefault="008724A0" w:rsidP="00C6392A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8724A0">
        <w:rPr>
          <w:rFonts w:ascii="Arial" w:hAnsi="Arial"/>
          <w:b/>
          <w:bCs/>
          <w:sz w:val="20"/>
          <w:szCs w:val="20"/>
        </w:rPr>
        <w:t>Tunis, le 28 mars 2017.</w:t>
      </w:r>
    </w:p>
    <w:p w:rsidR="00A72321" w:rsidRPr="00C839AE" w:rsidRDefault="00A72321" w:rsidP="008724A0">
      <w:pPr>
        <w:spacing w:before="100" w:beforeAutospacing="1"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ED" w:rsidRDefault="001942ED" w:rsidP="008F3F2D">
      <w:r>
        <w:separator/>
      </w:r>
    </w:p>
  </w:endnote>
  <w:endnote w:type="continuationSeparator" w:id="0">
    <w:p w:rsidR="001942ED" w:rsidRDefault="001942E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8724A0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24A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4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24A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446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724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4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446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446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B446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ED" w:rsidRDefault="001942ED" w:rsidP="008F3F2D">
      <w:r>
        <w:separator/>
      </w:r>
    </w:p>
  </w:footnote>
  <w:footnote w:type="continuationSeparator" w:id="0">
    <w:p w:rsidR="001942ED" w:rsidRDefault="001942E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724A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724A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A0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42ED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B446C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24A0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C3CF5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392A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E01E0"/>
  <w15:docId w15:val="{1EB01791-4EAB-40A2-8185-4D413A6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B648-2B3E-4C17-8322-ABBBFF61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16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5</cp:revision>
  <cp:lastPrinted>2017-11-13T11:22:00Z</cp:lastPrinted>
  <dcterms:created xsi:type="dcterms:W3CDTF">2017-11-13T11:15:00Z</dcterms:created>
  <dcterms:modified xsi:type="dcterms:W3CDTF">2017-11-13T11:31:00Z</dcterms:modified>
</cp:coreProperties>
</file>