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F4" w:rsidRPr="003E77B9" w:rsidRDefault="00871EC6" w:rsidP="00B65D56">
      <w:pPr>
        <w:spacing w:before="100" w:beforeAutospacing="1" w:after="0"/>
        <w:ind w:left="283"/>
        <w:jc w:val="both"/>
        <w:rPr>
          <w:rFonts w:ascii="Arial" w:hAnsi="Arial" w:cs="Arial"/>
          <w:b/>
          <w:bCs/>
          <w:sz w:val="24"/>
          <w:szCs w:val="24"/>
        </w:rPr>
      </w:pPr>
      <w:r w:rsidRPr="003E77B9">
        <w:rPr>
          <w:rFonts w:ascii="Arial" w:hAnsi="Arial" w:cs="Arial"/>
          <w:b/>
          <w:bCs/>
          <w:sz w:val="24"/>
          <w:szCs w:val="24"/>
        </w:rPr>
        <w:t>Loi n° 93-104 du 25 octobre 1993, modifiant et complétant certains articles du code de justice militaire.</w:t>
      </w:r>
    </w:p>
    <w:p w:rsidR="00871EC6" w:rsidRPr="003E77B9" w:rsidRDefault="00871EC6" w:rsidP="00B65D56">
      <w:pPr>
        <w:spacing w:before="100" w:beforeAutospacing="1" w:after="0"/>
        <w:ind w:left="283"/>
        <w:jc w:val="both"/>
        <w:rPr>
          <w:rFonts w:ascii="Arial" w:hAnsi="Arial" w:cs="Arial"/>
          <w:sz w:val="20"/>
          <w:szCs w:val="20"/>
        </w:rPr>
      </w:pPr>
      <w:r w:rsidRPr="003E77B9">
        <w:rPr>
          <w:rFonts w:ascii="Arial" w:hAnsi="Arial" w:cs="Arial"/>
          <w:sz w:val="20"/>
          <w:szCs w:val="20"/>
        </w:rPr>
        <w:t>Au nom du peuple,</w:t>
      </w:r>
    </w:p>
    <w:p w:rsidR="00871EC6" w:rsidRPr="003E77B9" w:rsidRDefault="00871EC6" w:rsidP="00B65D56">
      <w:pPr>
        <w:spacing w:before="100" w:beforeAutospacing="1" w:after="0"/>
        <w:ind w:left="283"/>
        <w:jc w:val="both"/>
        <w:rPr>
          <w:rFonts w:ascii="Arial" w:hAnsi="Arial" w:cs="Arial"/>
          <w:sz w:val="20"/>
          <w:szCs w:val="20"/>
        </w:rPr>
      </w:pPr>
      <w:r w:rsidRPr="003E77B9">
        <w:rPr>
          <w:rFonts w:ascii="Arial" w:hAnsi="Arial" w:cs="Arial"/>
          <w:sz w:val="20"/>
          <w:szCs w:val="20"/>
        </w:rPr>
        <w:t>La chambre des députés ayant adopté,</w:t>
      </w:r>
    </w:p>
    <w:p w:rsidR="00871EC6" w:rsidRPr="003E77B9" w:rsidRDefault="00871EC6" w:rsidP="00B65D56">
      <w:pPr>
        <w:spacing w:before="100" w:beforeAutospacing="1" w:after="0"/>
        <w:ind w:left="283"/>
        <w:jc w:val="both"/>
        <w:rPr>
          <w:rFonts w:ascii="Arial" w:hAnsi="Arial" w:cs="Arial"/>
          <w:sz w:val="20"/>
          <w:szCs w:val="20"/>
        </w:rPr>
      </w:pPr>
      <w:r w:rsidRPr="003E77B9">
        <w:rPr>
          <w:rFonts w:ascii="Arial" w:hAnsi="Arial" w:cs="Arial"/>
          <w:sz w:val="20"/>
          <w:szCs w:val="20"/>
        </w:rPr>
        <w:t>Le président de la République promulgue la loi dont la teneur suit :</w:t>
      </w:r>
    </w:p>
    <w:p w:rsidR="00871EC6" w:rsidRPr="003E77B9" w:rsidRDefault="00871EC6" w:rsidP="00B65D56">
      <w:pPr>
        <w:spacing w:before="100" w:beforeAutospacing="1" w:after="0"/>
        <w:ind w:left="283"/>
        <w:jc w:val="both"/>
        <w:rPr>
          <w:rFonts w:ascii="Arial" w:hAnsi="Arial" w:cs="Arial"/>
          <w:sz w:val="20"/>
          <w:szCs w:val="20"/>
        </w:rPr>
      </w:pPr>
      <w:r w:rsidRPr="003E77B9">
        <w:rPr>
          <w:rFonts w:ascii="Arial" w:hAnsi="Arial" w:cs="Arial"/>
          <w:b/>
          <w:bCs/>
          <w:i/>
          <w:iCs/>
          <w:sz w:val="20"/>
          <w:szCs w:val="20"/>
        </w:rPr>
        <w:t>Article premier</w:t>
      </w:r>
      <w:r w:rsidR="00B65D56">
        <w:rPr>
          <w:rFonts w:ascii="Arial" w:hAnsi="Arial" w:cs="Arial"/>
          <w:sz w:val="20"/>
          <w:szCs w:val="20"/>
        </w:rPr>
        <w:t xml:space="preserve"> – </w:t>
      </w:r>
      <w:r w:rsidRPr="003E77B9">
        <w:rPr>
          <w:rFonts w:ascii="Arial" w:hAnsi="Arial" w:cs="Arial"/>
          <w:sz w:val="20"/>
          <w:szCs w:val="20"/>
        </w:rPr>
        <w:t>Il est ajouté au code de justice militaire, promulgué par le décret du 10 janvier 1957, l’article 5 bis suivant :</w:t>
      </w:r>
    </w:p>
    <w:p w:rsidR="00871EC6" w:rsidRPr="003E77B9" w:rsidRDefault="00871EC6" w:rsidP="00B65D56">
      <w:pPr>
        <w:spacing w:before="100" w:beforeAutospacing="1" w:after="0"/>
        <w:ind w:left="283"/>
        <w:jc w:val="center"/>
        <w:rPr>
          <w:rFonts w:ascii="Arial" w:hAnsi="Arial" w:cs="Arial"/>
          <w:b/>
          <w:bCs/>
        </w:rPr>
      </w:pPr>
      <w:r w:rsidRPr="003E77B9">
        <w:rPr>
          <w:rFonts w:ascii="Arial" w:hAnsi="Arial" w:cs="Arial"/>
          <w:b/>
          <w:bCs/>
        </w:rPr>
        <w:t>Ch</w:t>
      </w:r>
      <w:r w:rsidR="005F31F9" w:rsidRPr="003E77B9">
        <w:rPr>
          <w:rFonts w:ascii="Arial" w:hAnsi="Arial" w:cs="Arial"/>
          <w:b/>
          <w:bCs/>
        </w:rPr>
        <w:t>a</w:t>
      </w:r>
      <w:r w:rsidRPr="003E77B9">
        <w:rPr>
          <w:rFonts w:ascii="Arial" w:hAnsi="Arial" w:cs="Arial"/>
          <w:b/>
          <w:bCs/>
        </w:rPr>
        <w:t xml:space="preserve">pitre </w:t>
      </w:r>
      <w:r w:rsidR="005F31F9" w:rsidRPr="003E77B9">
        <w:rPr>
          <w:rFonts w:ascii="Arial" w:hAnsi="Arial" w:cs="Arial"/>
          <w:b/>
          <w:bCs/>
        </w:rPr>
        <w:t>premier – Compétence ratione-mater</w:t>
      </w:r>
      <w:r w:rsidR="003E77B9" w:rsidRPr="003E77B9">
        <w:rPr>
          <w:rFonts w:ascii="Arial" w:hAnsi="Arial" w:cs="Arial"/>
          <w:b/>
          <w:bCs/>
        </w:rPr>
        <w:t>i</w:t>
      </w:r>
      <w:r w:rsidR="005F31F9" w:rsidRPr="003E77B9">
        <w:rPr>
          <w:rFonts w:ascii="Arial" w:hAnsi="Arial" w:cs="Arial"/>
          <w:b/>
          <w:bCs/>
        </w:rPr>
        <w:t>ae</w:t>
      </w:r>
    </w:p>
    <w:p w:rsidR="005F31F9" w:rsidRPr="00B65D56" w:rsidRDefault="005F31F9" w:rsidP="00B65D56">
      <w:pPr>
        <w:spacing w:before="100" w:beforeAutospacing="1" w:after="0"/>
        <w:ind w:left="283"/>
        <w:jc w:val="both"/>
        <w:rPr>
          <w:rFonts w:ascii="Arial" w:hAnsi="Arial" w:cs="Arial"/>
          <w:b/>
          <w:bCs/>
          <w:i/>
          <w:iCs/>
          <w:sz w:val="20"/>
          <w:szCs w:val="20"/>
        </w:rPr>
      </w:pPr>
      <w:r w:rsidRPr="003E77B9">
        <w:rPr>
          <w:rFonts w:ascii="Arial" w:hAnsi="Arial" w:cs="Arial"/>
          <w:b/>
          <w:bCs/>
          <w:i/>
          <w:iCs/>
          <w:sz w:val="20"/>
          <w:szCs w:val="20"/>
        </w:rPr>
        <w:t>Art.5</w:t>
      </w:r>
      <w:r w:rsidR="00B65D56">
        <w:rPr>
          <w:rFonts w:ascii="Arial" w:hAnsi="Arial" w:cs="Arial"/>
          <w:b/>
          <w:bCs/>
          <w:i/>
          <w:iCs/>
          <w:sz w:val="20"/>
          <w:szCs w:val="20"/>
        </w:rPr>
        <w:t xml:space="preserve"> bis – </w:t>
      </w:r>
      <w:r w:rsidRPr="003E77B9">
        <w:rPr>
          <w:rFonts w:ascii="Arial" w:hAnsi="Arial" w:cs="Arial"/>
          <w:sz w:val="20"/>
          <w:szCs w:val="20"/>
        </w:rPr>
        <w:t>Connait des crimes de désertion prévus par l’article 67 de ce code un juge unique ; il est saisi de ces infractions sur demande du parquet militaire, ou du juge d’instruction militaire, ou de l’une des chambres militaires et ses jugements sont rendus en dernier ressort, et susceptibles de pourvoi en cassation.</w:t>
      </w:r>
    </w:p>
    <w:p w:rsidR="005F31F9" w:rsidRPr="00B65D56" w:rsidRDefault="005F31F9" w:rsidP="00B65D56">
      <w:pPr>
        <w:spacing w:before="100" w:beforeAutospacing="1" w:after="0"/>
        <w:ind w:left="283"/>
        <w:jc w:val="both"/>
        <w:rPr>
          <w:rFonts w:ascii="Arial" w:hAnsi="Arial" w:cs="Arial"/>
          <w:b/>
          <w:bCs/>
          <w:i/>
          <w:iCs/>
          <w:sz w:val="20"/>
          <w:szCs w:val="20"/>
        </w:rPr>
      </w:pPr>
      <w:r w:rsidRPr="003E77B9">
        <w:rPr>
          <w:rFonts w:ascii="Arial" w:hAnsi="Arial" w:cs="Arial"/>
          <w:b/>
          <w:bCs/>
          <w:i/>
          <w:iCs/>
          <w:sz w:val="20"/>
          <w:szCs w:val="20"/>
        </w:rPr>
        <w:t>Art.2</w:t>
      </w:r>
      <w:r w:rsidR="00B65D56">
        <w:rPr>
          <w:rFonts w:ascii="Arial" w:hAnsi="Arial" w:cs="Arial"/>
          <w:b/>
          <w:bCs/>
          <w:i/>
          <w:iCs/>
          <w:sz w:val="20"/>
          <w:szCs w:val="20"/>
        </w:rPr>
        <w:t xml:space="preserve"> – </w:t>
      </w:r>
      <w:r w:rsidRPr="003E77B9">
        <w:rPr>
          <w:rFonts w:ascii="Arial" w:hAnsi="Arial" w:cs="Arial"/>
          <w:sz w:val="20"/>
          <w:szCs w:val="20"/>
        </w:rPr>
        <w:t>L’alinéa 1</w:t>
      </w:r>
      <w:r w:rsidRPr="003E77B9">
        <w:rPr>
          <w:rFonts w:ascii="Arial" w:hAnsi="Arial" w:cs="Arial"/>
          <w:sz w:val="20"/>
          <w:szCs w:val="20"/>
          <w:vertAlign w:val="superscript"/>
        </w:rPr>
        <w:t>er</w:t>
      </w:r>
      <w:r w:rsidRPr="003E77B9">
        <w:rPr>
          <w:rFonts w:ascii="Arial" w:hAnsi="Arial" w:cs="Arial"/>
          <w:sz w:val="20"/>
          <w:szCs w:val="20"/>
        </w:rPr>
        <w:t xml:space="preserve"> </w:t>
      </w:r>
      <w:r w:rsidR="00AB496B" w:rsidRPr="003E77B9">
        <w:rPr>
          <w:rFonts w:ascii="Arial" w:hAnsi="Arial" w:cs="Arial"/>
          <w:sz w:val="20"/>
          <w:szCs w:val="20"/>
        </w:rPr>
        <w:t>de l’article 14 du code de justice militaire est abrogé et remplacé par les dispositions suivantes :</w:t>
      </w:r>
    </w:p>
    <w:p w:rsidR="00AB496B" w:rsidRPr="003E77B9" w:rsidRDefault="00AB496B" w:rsidP="00B65D56">
      <w:pPr>
        <w:spacing w:before="100" w:beforeAutospacing="1" w:after="0"/>
        <w:ind w:left="283"/>
        <w:jc w:val="center"/>
        <w:rPr>
          <w:rFonts w:ascii="Arial" w:hAnsi="Arial" w:cs="Arial"/>
          <w:b/>
          <w:bCs/>
        </w:rPr>
      </w:pPr>
      <w:r w:rsidRPr="003E77B9">
        <w:rPr>
          <w:rFonts w:ascii="Arial" w:hAnsi="Arial" w:cs="Arial"/>
          <w:b/>
          <w:bCs/>
        </w:rPr>
        <w:t>Chapitre III : L’action publique</w:t>
      </w:r>
    </w:p>
    <w:p w:rsidR="00AB496B" w:rsidRPr="00B65D56" w:rsidRDefault="00AB496B" w:rsidP="00B65D56">
      <w:pPr>
        <w:spacing w:before="100" w:beforeAutospacing="1" w:after="0"/>
        <w:ind w:left="283"/>
        <w:jc w:val="both"/>
        <w:rPr>
          <w:rFonts w:ascii="Arial" w:hAnsi="Arial" w:cs="Arial"/>
          <w:b/>
          <w:bCs/>
          <w:i/>
          <w:iCs/>
          <w:sz w:val="20"/>
          <w:szCs w:val="20"/>
        </w:rPr>
      </w:pPr>
      <w:r w:rsidRPr="003E77B9">
        <w:rPr>
          <w:rFonts w:ascii="Arial" w:hAnsi="Arial" w:cs="Arial"/>
          <w:b/>
          <w:bCs/>
          <w:i/>
          <w:iCs/>
          <w:sz w:val="20"/>
          <w:szCs w:val="20"/>
        </w:rPr>
        <w:t>Art.14</w:t>
      </w:r>
      <w:r w:rsidR="00B65D56">
        <w:rPr>
          <w:rFonts w:ascii="Arial" w:hAnsi="Arial" w:cs="Arial"/>
          <w:b/>
          <w:bCs/>
          <w:i/>
          <w:iCs/>
          <w:sz w:val="20"/>
          <w:szCs w:val="20"/>
        </w:rPr>
        <w:t xml:space="preserve"> </w:t>
      </w:r>
      <w:r w:rsidRPr="003E77B9">
        <w:rPr>
          <w:rFonts w:ascii="Arial" w:hAnsi="Arial" w:cs="Arial"/>
          <w:b/>
          <w:bCs/>
          <w:i/>
          <w:iCs/>
          <w:sz w:val="20"/>
          <w:szCs w:val="20"/>
        </w:rPr>
        <w:t>(Alinéa 1</w:t>
      </w:r>
      <w:r w:rsidRPr="003E77B9">
        <w:rPr>
          <w:rFonts w:ascii="Arial" w:hAnsi="Arial" w:cs="Arial"/>
          <w:b/>
          <w:bCs/>
          <w:i/>
          <w:iCs/>
          <w:sz w:val="20"/>
          <w:szCs w:val="20"/>
          <w:vertAlign w:val="superscript"/>
        </w:rPr>
        <w:t>er</w:t>
      </w:r>
      <w:r w:rsidR="00B65D56">
        <w:rPr>
          <w:rFonts w:ascii="Arial" w:hAnsi="Arial" w:cs="Arial"/>
          <w:b/>
          <w:bCs/>
          <w:i/>
          <w:iCs/>
          <w:sz w:val="20"/>
          <w:szCs w:val="20"/>
        </w:rPr>
        <w:t xml:space="preserve"> nouveau) – </w:t>
      </w:r>
      <w:r w:rsidRPr="003E77B9">
        <w:rPr>
          <w:rFonts w:ascii="Arial" w:hAnsi="Arial" w:cs="Arial"/>
          <w:sz w:val="20"/>
          <w:szCs w:val="20"/>
        </w:rPr>
        <w:t>Un commissaire de gouvernement, un premier substitut, des substituts et un juge unique, seront nommés auprès du tribunal militaire permanent.</w:t>
      </w:r>
    </w:p>
    <w:p w:rsidR="00F40839" w:rsidRPr="003E77B9" w:rsidRDefault="00AB496B" w:rsidP="00B65D56">
      <w:pPr>
        <w:spacing w:before="100" w:beforeAutospacing="1" w:after="0"/>
        <w:ind w:left="283"/>
        <w:jc w:val="both"/>
        <w:rPr>
          <w:rFonts w:ascii="Arial" w:hAnsi="Arial" w:cs="Arial"/>
          <w:sz w:val="20"/>
          <w:szCs w:val="20"/>
        </w:rPr>
      </w:pPr>
      <w:r w:rsidRPr="003E77B9">
        <w:rPr>
          <w:rFonts w:ascii="Arial" w:hAnsi="Arial" w:cs="Arial"/>
          <w:sz w:val="20"/>
          <w:szCs w:val="20"/>
        </w:rPr>
        <w:t xml:space="preserve">Un premier juge d’instruction, des juges d’instruction et des juges rapporteurs </w:t>
      </w:r>
      <w:r w:rsidR="00F40839" w:rsidRPr="003E77B9">
        <w:rPr>
          <w:rFonts w:ascii="Arial" w:hAnsi="Arial" w:cs="Arial"/>
          <w:sz w:val="20"/>
          <w:szCs w:val="20"/>
        </w:rPr>
        <w:t xml:space="preserve">seront également nommés pour compléter la composition de ce tribunal par décret sur proposition du ministre de la défense nationale. </w:t>
      </w:r>
    </w:p>
    <w:p w:rsidR="00F40839" w:rsidRPr="00B65D56" w:rsidRDefault="00F40839" w:rsidP="00B65D56">
      <w:pPr>
        <w:spacing w:before="100" w:beforeAutospacing="1" w:after="0"/>
        <w:ind w:left="283"/>
        <w:jc w:val="both"/>
        <w:rPr>
          <w:rFonts w:ascii="Arial" w:hAnsi="Arial" w:cs="Arial"/>
          <w:sz w:val="20"/>
          <w:szCs w:val="20"/>
        </w:rPr>
      </w:pPr>
      <w:r w:rsidRPr="00B65D56">
        <w:rPr>
          <w:rFonts w:ascii="Arial" w:hAnsi="Arial" w:cs="Arial"/>
          <w:sz w:val="20"/>
          <w:szCs w:val="20"/>
        </w:rPr>
        <w:t>La présente loi sera publiée au Journal Officiel de la République Tunisienne et exécutée comme loi de l’Etat.</w:t>
      </w:r>
    </w:p>
    <w:p w:rsidR="00F40839" w:rsidRPr="003E77B9" w:rsidRDefault="00F40839" w:rsidP="00B65D56">
      <w:pPr>
        <w:spacing w:before="100" w:beforeAutospacing="1" w:after="0"/>
        <w:ind w:left="283"/>
        <w:rPr>
          <w:rFonts w:ascii="Arial" w:hAnsi="Arial" w:cs="Arial"/>
          <w:b/>
          <w:bCs/>
          <w:sz w:val="20"/>
          <w:szCs w:val="20"/>
        </w:rPr>
      </w:pPr>
      <w:r w:rsidRPr="003E77B9">
        <w:rPr>
          <w:rFonts w:ascii="Arial" w:hAnsi="Arial" w:cs="Arial"/>
          <w:b/>
          <w:bCs/>
          <w:sz w:val="20"/>
          <w:szCs w:val="20"/>
        </w:rPr>
        <w:t>Tunis, le 25 octobre</w:t>
      </w:r>
      <w:bookmarkStart w:id="0" w:name="_GoBack"/>
      <w:bookmarkEnd w:id="0"/>
      <w:r w:rsidRPr="003E77B9">
        <w:rPr>
          <w:rFonts w:ascii="Arial" w:hAnsi="Arial" w:cs="Arial"/>
          <w:b/>
          <w:bCs/>
          <w:sz w:val="20"/>
          <w:szCs w:val="20"/>
        </w:rPr>
        <w:t xml:space="preserve"> 1993.</w:t>
      </w:r>
    </w:p>
    <w:sectPr w:rsidR="00F40839" w:rsidRPr="003E77B9" w:rsidSect="00B65D5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C6"/>
    <w:rsid w:val="003E77B9"/>
    <w:rsid w:val="005F31F9"/>
    <w:rsid w:val="00871EC6"/>
    <w:rsid w:val="00AB496B"/>
    <w:rsid w:val="00B2542A"/>
    <w:rsid w:val="00B65D56"/>
    <w:rsid w:val="00D76C9A"/>
    <w:rsid w:val="00E242F4"/>
    <w:rsid w:val="00F408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Assist.Wided</cp:lastModifiedBy>
  <cp:revision>2</cp:revision>
  <dcterms:created xsi:type="dcterms:W3CDTF">2012-03-13T13:32:00Z</dcterms:created>
  <dcterms:modified xsi:type="dcterms:W3CDTF">2012-03-13T13:32:00Z</dcterms:modified>
</cp:coreProperties>
</file>