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69F5A7C8" w14:textId="451D74E4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Loi </w:t>
      </w:r>
      <w:bookmarkStart w:id="0" w:name="_GoBack"/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>n°</w:t>
      </w:r>
      <w:bookmarkEnd w:id="0"/>
      <w:r w:rsidR="00F45CA7">
        <w:rPr>
          <w:rFonts w:ascii="Arial" w:eastAsia="Times New Roman" w:hAnsi="Arial" w:cs="Arial"/>
          <w:b/>
          <w:sz w:val="24"/>
          <w:szCs w:val="24"/>
          <w:lang w:eastAsia="de-DE"/>
        </w:rPr>
        <w:t> </w:t>
      </w: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>93-103 du 25 octobre 1993, portant création de l</w:t>
      </w:r>
      <w:r w:rsidR="00F45CA7">
        <w:rPr>
          <w:rFonts w:ascii="Arial" w:eastAsia="Times New Roman" w:hAnsi="Arial" w:cs="Arial"/>
          <w:b/>
          <w:sz w:val="24"/>
          <w:szCs w:val="24"/>
          <w:lang w:eastAsia="de-DE"/>
        </w:rPr>
        <w:t>’</w:t>
      </w: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Institut </w:t>
      </w:r>
      <w:r w:rsidR="00F45CA7">
        <w:rPr>
          <w:rFonts w:ascii="Arial" w:eastAsia="Times New Roman" w:hAnsi="Arial" w:cs="Arial"/>
          <w:b/>
          <w:sz w:val="24"/>
          <w:szCs w:val="24"/>
          <w:lang w:eastAsia="de-DE"/>
        </w:rPr>
        <w:t>t</w:t>
      </w: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unisien des </w:t>
      </w:r>
      <w:r w:rsidR="00F45CA7">
        <w:rPr>
          <w:rFonts w:ascii="Arial" w:eastAsia="Times New Roman" w:hAnsi="Arial" w:cs="Arial"/>
          <w:b/>
          <w:sz w:val="24"/>
          <w:szCs w:val="24"/>
          <w:lang w:eastAsia="de-DE"/>
        </w:rPr>
        <w:t>É</w:t>
      </w: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tudes </w:t>
      </w:r>
      <w:r w:rsidR="00F45CA7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Pr="002F65BE">
        <w:rPr>
          <w:rFonts w:ascii="Arial" w:eastAsia="Times New Roman" w:hAnsi="Arial" w:cs="Arial"/>
          <w:b/>
          <w:sz w:val="24"/>
          <w:szCs w:val="24"/>
          <w:lang w:eastAsia="de-DE"/>
        </w:rPr>
        <w:t>tratégiques</w:t>
      </w:r>
    </w:p>
    <w:p w14:paraId="103292EE" w14:textId="77777777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Au nom du peuple,</w:t>
      </w:r>
    </w:p>
    <w:p w14:paraId="7F3B5DD1" w14:textId="77777777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La chambre des députés ayant adopté,</w:t>
      </w:r>
    </w:p>
    <w:p w14:paraId="238B2552" w14:textId="243D19F6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Le Président de la République promulgue la loi dont la teneur suit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2C238126" w14:textId="0ED88A44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Article premier – 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Il est créé un établissement public à caractère industriel et commercial, doté de la personnalité civile et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autonomie financière, dénommé 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«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Institut 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unisien des 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É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tudes 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tratégiques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»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91E57C8" w14:textId="050434E2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est régi par la législation commerciale et par la loi n°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89-9 du 1er février 1989, relative aux participations et entreprises publiques, dans la mesure où il n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y est pas dérogé par la présente loi.</w:t>
      </w:r>
    </w:p>
    <w:p w14:paraId="4C1A90B6" w14:textId="4D056039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est placé sous la tutelle de la Présidence de la République. Son siège est à Tunis.</w:t>
      </w:r>
    </w:p>
    <w:p w14:paraId="322E7607" w14:textId="5A9E54FE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2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assume une mission de recherche, 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étude, 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analyse et de prospective à court et long termes, de toutes les questions qui sont en rapport avec les évènements, les évolutions conjoncturelles et les différents phénomènes sur les plans nationa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ux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et internationa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ux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, et susceptibles 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avoir un lien avec le processus de développement de la société tunisienne dans toutes ses dimensions politiques, économiques, sociales et culturelles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et ce dans le but 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expliquer ces questions ou 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anticiper leur évolution par la formulation de différents scénarios et hypothèses à cet effet.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examine également toutes les questions qui lui sont confiées dans le cadre de cette mission.</w:t>
      </w:r>
    </w:p>
    <w:p w14:paraId="3B72B133" w14:textId="123D9021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établit, périodiquement ou selon les besoins, des rapports secrets qu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il soumet au Président de la République. Pour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accomplissement de sa mission, il est chargé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3A04D662" w14:textId="77777777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de rassembler les études, les données statistiques et les rapports provenant des sources disponibles et de les évaluer selon les méthodes et les techniques scientifiques appropriées,</w:t>
      </w:r>
    </w:p>
    <w:p w14:paraId="66A133CF" w14:textId="77777777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de développer divers outils de travail qui lui permettent de remplir sa mission, et notamment les banques de données et les fonds documentaires,</w:t>
      </w:r>
    </w:p>
    <w:p w14:paraId="514D6D9B" w14:textId="79A4B65B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établir des relations avec les institutions, organismes universités et centres de recherche, tunisiens ou étrangers,</w:t>
      </w:r>
    </w:p>
    <w:p w14:paraId="2272B23F" w14:textId="4E78FB28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organiser des rencontres et séminaires groupant des experts nationaux ou internationaux.</w:t>
      </w:r>
    </w:p>
    <w:p w14:paraId="252CD3AF" w14:textId="6FABC08D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3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Les modalités de fonctionnement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ainsi que son organisation administrative et financière sont fixées par décret.</w:t>
      </w:r>
    </w:p>
    <w:p w14:paraId="43C1AE46" w14:textId="3241A64A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4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est dirigé par un directeur général nommé par décret nonobstant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âge de mise à la retraite.</w:t>
      </w:r>
    </w:p>
    <w:p w14:paraId="78479B21" w14:textId="57D91DC2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5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Par dérogation aux dispositions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article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10 de la loi susvisée n°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89-9 du 1er février 1989, il est créé auprès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un conseil consultatif dont la composition et les attributions sont fixées par décret.</w:t>
      </w:r>
    </w:p>
    <w:p w14:paraId="6E1729CF" w14:textId="5ECF0007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6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Les recettes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 sont constituées de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14:paraId="09ABEEE7" w14:textId="77777777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ressources propres et affectées,</w:t>
      </w:r>
    </w:p>
    <w:p w14:paraId="23F8BB68" w14:textId="253D0A31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subventions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’É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tat,</w:t>
      </w:r>
    </w:p>
    <w:p w14:paraId="183A540F" w14:textId="77777777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dons et legs,</w:t>
      </w:r>
    </w:p>
    <w:p w14:paraId="10B77DAC" w14:textId="77777777" w:rsidR="002F65BE" w:rsidRPr="002F65BE" w:rsidRDefault="002F65BE" w:rsidP="002F65BE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toutes autres ressources.</w:t>
      </w:r>
    </w:p>
    <w:p w14:paraId="6A5CE821" w14:textId="30B5CAB0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Art. 7 –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 En cas de dissolution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Institut, son patrimoine fera retour à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’É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 xml:space="preserve">tat qui exécutera les 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lastRenderedPageBreak/>
        <w:t>engagements contractés par ledit Institut.</w:t>
      </w:r>
    </w:p>
    <w:p w14:paraId="0942201F" w14:textId="75D7D1CC" w:rsidR="002F65BE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sz w:val="20"/>
          <w:szCs w:val="20"/>
          <w:lang w:eastAsia="de-DE"/>
        </w:rPr>
        <w:t>La présente loi sera publiée au Journal Officiel de la République Tunisienne et exécutée comme loi de l</w:t>
      </w:r>
      <w:r w:rsidR="00F45CA7">
        <w:rPr>
          <w:rFonts w:ascii="Arial" w:eastAsia="Times New Roman" w:hAnsi="Arial" w:cs="Arial"/>
          <w:sz w:val="20"/>
          <w:szCs w:val="20"/>
          <w:lang w:eastAsia="de-DE"/>
        </w:rPr>
        <w:t>’É</w:t>
      </w:r>
      <w:r w:rsidRPr="002F65BE">
        <w:rPr>
          <w:rFonts w:ascii="Arial" w:eastAsia="Times New Roman" w:hAnsi="Arial" w:cs="Arial"/>
          <w:sz w:val="20"/>
          <w:szCs w:val="20"/>
          <w:lang w:eastAsia="de-DE"/>
        </w:rPr>
        <w:t>tat.</w:t>
      </w:r>
    </w:p>
    <w:p w14:paraId="71E6F4F2" w14:textId="77A17865" w:rsidR="00E953A2" w:rsidRPr="002F65BE" w:rsidRDefault="002F65BE" w:rsidP="002F65BE">
      <w:pPr>
        <w:widowControl w:val="0"/>
        <w:autoSpaceDE w:val="0"/>
        <w:autoSpaceDN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2F65B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Tunis, le 25 octobre 1993.</w:t>
      </w:r>
    </w:p>
    <w:sectPr w:rsidR="00E953A2" w:rsidRPr="002F65BE" w:rsidSect="00A2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763" w14:textId="77777777" w:rsidR="00724237" w:rsidRDefault="00724237" w:rsidP="008F3F2D">
      <w:r>
        <w:separator/>
      </w:r>
    </w:p>
  </w:endnote>
  <w:endnote w:type="continuationSeparator" w:id="0">
    <w:p w14:paraId="375ECFCB" w14:textId="77777777" w:rsidR="00724237" w:rsidRDefault="0072423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5C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5C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5C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5C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5C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5C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5C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5C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16EF8" w14:textId="77777777" w:rsidR="00F45CA7" w:rsidRDefault="00F45C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9E6B" w14:textId="77777777" w:rsidR="00724237" w:rsidRDefault="00724237" w:rsidP="008F3F2D">
      <w:r>
        <w:separator/>
      </w:r>
    </w:p>
  </w:footnote>
  <w:footnote w:type="continuationSeparator" w:id="0">
    <w:p w14:paraId="2F3B9D35" w14:textId="77777777" w:rsidR="00724237" w:rsidRDefault="0072423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697D" w14:textId="77777777" w:rsidR="00F45CA7" w:rsidRDefault="00F45C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151EB"/>
    <w:multiLevelType w:val="hybridMultilevel"/>
    <w:tmpl w:val="CA9C6242"/>
    <w:lvl w:ilvl="0" w:tplc="28CA52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B0D20"/>
    <w:rsid w:val="000D0DE1"/>
    <w:rsid w:val="001E5DD5"/>
    <w:rsid w:val="0020398F"/>
    <w:rsid w:val="002B19EE"/>
    <w:rsid w:val="002F65BE"/>
    <w:rsid w:val="00354137"/>
    <w:rsid w:val="003B6CD4"/>
    <w:rsid w:val="00400FF9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238"/>
    <w:rsid w:val="00C64B86"/>
    <w:rsid w:val="00CC4ADF"/>
    <w:rsid w:val="00D07749"/>
    <w:rsid w:val="00E10A35"/>
    <w:rsid w:val="00E953A2"/>
    <w:rsid w:val="00F45CA7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2015-09-16T16:43:00Z</dcterms:created>
  <dcterms:modified xsi:type="dcterms:W3CDTF">2015-09-16T16:43:00Z</dcterms:modified>
</cp:coreProperties>
</file>