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9A465" w14:textId="77777777" w:rsidR="00D274F6" w:rsidRPr="00D274F6" w:rsidRDefault="00D274F6" w:rsidP="00D274F6">
      <w:pPr>
        <w:spacing w:before="100" w:beforeAutospacing="1" w:after="0"/>
        <w:ind w:left="283"/>
        <w:jc w:val="both"/>
        <w:rPr>
          <w:rFonts w:ascii="Arial" w:hAnsi="Arial" w:cs="Arial"/>
          <w:sz w:val="20"/>
          <w:szCs w:val="20"/>
        </w:rPr>
      </w:pPr>
    </w:p>
    <w:p w14:paraId="11701496" w14:textId="77777777" w:rsidR="00463A57" w:rsidRDefault="00463A57" w:rsidP="00D274F6">
      <w:pPr>
        <w:spacing w:before="100" w:beforeAutospacing="1" w:after="0"/>
        <w:ind w:left="283"/>
        <w:jc w:val="both"/>
        <w:rPr>
          <w:rFonts w:ascii="Arial" w:hAnsi="Arial" w:cs="Arial"/>
          <w:b/>
          <w:bCs/>
          <w:sz w:val="24"/>
          <w:szCs w:val="24"/>
        </w:rPr>
      </w:pPr>
      <w:r w:rsidRPr="00463A57">
        <w:rPr>
          <w:rFonts w:ascii="Arial" w:hAnsi="Arial" w:cs="Arial"/>
          <w:b/>
          <w:bCs/>
          <w:sz w:val="24"/>
          <w:szCs w:val="24"/>
        </w:rPr>
        <w:t>Loi n° 88-145 du 29 décembre 1988, portant loi de</w:t>
      </w:r>
      <w:r>
        <w:rPr>
          <w:rFonts w:ascii="Arial" w:hAnsi="Arial" w:cs="Arial"/>
          <w:b/>
          <w:bCs/>
          <w:sz w:val="24"/>
          <w:szCs w:val="24"/>
        </w:rPr>
        <w:t xml:space="preserve"> finances pour la gestion 1989</w:t>
      </w:r>
    </w:p>
    <w:p w14:paraId="3E7943B0" w14:textId="11312E62" w:rsidR="00463A57" w:rsidRDefault="00463A57" w:rsidP="00463A57">
      <w:pPr>
        <w:spacing w:before="100" w:beforeAutospacing="1" w:after="0"/>
        <w:ind w:left="283"/>
        <w:jc w:val="both"/>
        <w:rPr>
          <w:rFonts w:ascii="Arial" w:hAnsi="Arial" w:cs="Arial"/>
          <w:b/>
          <w:bCs/>
          <w:sz w:val="20"/>
          <w:szCs w:val="20"/>
        </w:rPr>
      </w:pPr>
      <w:r>
        <w:rPr>
          <w:rFonts w:ascii="Arial" w:hAnsi="Arial" w:cs="Arial"/>
          <w:b/>
          <w:bCs/>
          <w:sz w:val="20"/>
          <w:szCs w:val="20"/>
        </w:rPr>
        <w:t>(…)</w:t>
      </w:r>
    </w:p>
    <w:p w14:paraId="77E590A0" w14:textId="0548372C" w:rsidR="00463A57" w:rsidRDefault="00463A57" w:rsidP="00463A57">
      <w:pPr>
        <w:spacing w:before="100" w:beforeAutospacing="1" w:after="0"/>
        <w:ind w:left="283"/>
        <w:jc w:val="center"/>
        <w:rPr>
          <w:rFonts w:ascii="Arial" w:hAnsi="Arial" w:cs="Arial"/>
          <w:b/>
          <w:bCs/>
          <w:sz w:val="20"/>
          <w:szCs w:val="20"/>
        </w:rPr>
      </w:pPr>
      <w:r w:rsidRPr="00463A57">
        <w:rPr>
          <w:rFonts w:ascii="Arial" w:hAnsi="Arial" w:cs="Arial"/>
          <w:b/>
          <w:bCs/>
          <w:sz w:val="20"/>
          <w:szCs w:val="20"/>
        </w:rPr>
        <w:t xml:space="preserve">Chapitre 4 </w:t>
      </w:r>
      <w:r>
        <w:rPr>
          <w:rFonts w:ascii="Arial" w:hAnsi="Arial" w:cs="Arial"/>
          <w:b/>
          <w:bCs/>
          <w:sz w:val="20"/>
          <w:szCs w:val="20"/>
        </w:rPr>
        <w:t>–</w:t>
      </w:r>
      <w:r w:rsidRPr="00463A57">
        <w:rPr>
          <w:rFonts w:ascii="Arial" w:hAnsi="Arial" w:cs="Arial"/>
          <w:b/>
          <w:bCs/>
          <w:sz w:val="20"/>
          <w:szCs w:val="20"/>
        </w:rPr>
        <w:t xml:space="preserve"> Disposit</w:t>
      </w:r>
      <w:r>
        <w:rPr>
          <w:rFonts w:ascii="Arial" w:hAnsi="Arial" w:cs="Arial"/>
          <w:b/>
          <w:bCs/>
          <w:sz w:val="20"/>
          <w:szCs w:val="20"/>
        </w:rPr>
        <w:t>ions réglementaires et diverses</w:t>
      </w:r>
    </w:p>
    <w:p w14:paraId="26CD2CB6" w14:textId="2839040E" w:rsidR="00463A57" w:rsidRPr="00463A57" w:rsidRDefault="00463A57" w:rsidP="00463A57">
      <w:pPr>
        <w:spacing w:before="100" w:beforeAutospacing="1" w:after="0"/>
        <w:ind w:left="283"/>
        <w:jc w:val="center"/>
        <w:rPr>
          <w:rFonts w:ascii="Arial" w:hAnsi="Arial" w:cs="Arial"/>
          <w:b/>
          <w:bCs/>
          <w:sz w:val="20"/>
          <w:szCs w:val="20"/>
        </w:rPr>
      </w:pPr>
      <w:r>
        <w:rPr>
          <w:rFonts w:ascii="Arial" w:hAnsi="Arial" w:cs="Arial"/>
          <w:b/>
          <w:bCs/>
          <w:sz w:val="20"/>
          <w:szCs w:val="20"/>
        </w:rPr>
        <w:t>Indemnités parlementaires et régime de retraite des membres de la chambre des députés</w:t>
      </w:r>
    </w:p>
    <w:p w14:paraId="29AC8219" w14:textId="2CE20B28" w:rsidR="00EB590F" w:rsidRDefault="00463A57" w:rsidP="00463A57">
      <w:pPr>
        <w:spacing w:before="100" w:beforeAutospacing="1" w:after="0"/>
        <w:ind w:left="283"/>
        <w:jc w:val="both"/>
        <w:rPr>
          <w:rFonts w:ascii="Arial" w:hAnsi="Arial" w:cs="Arial"/>
          <w:sz w:val="20"/>
          <w:szCs w:val="20"/>
        </w:rPr>
      </w:pPr>
      <w:r>
        <w:rPr>
          <w:rFonts w:ascii="Arial" w:hAnsi="Arial" w:cs="Arial"/>
          <w:b/>
          <w:bCs/>
          <w:i/>
          <w:iCs/>
          <w:sz w:val="20"/>
          <w:szCs w:val="20"/>
        </w:rPr>
        <w:t>Art.</w:t>
      </w:r>
      <w:r w:rsidR="00EB590F" w:rsidRPr="00D274F6">
        <w:rPr>
          <w:rFonts w:ascii="Arial" w:hAnsi="Arial" w:cs="Arial"/>
          <w:b/>
          <w:bCs/>
          <w:i/>
          <w:iCs/>
          <w:sz w:val="20"/>
          <w:szCs w:val="20"/>
        </w:rPr>
        <w:t xml:space="preserve"> </w:t>
      </w:r>
      <w:r>
        <w:rPr>
          <w:rFonts w:ascii="Arial" w:hAnsi="Arial" w:cs="Arial"/>
          <w:b/>
          <w:bCs/>
          <w:i/>
          <w:iCs/>
          <w:sz w:val="20"/>
          <w:szCs w:val="20"/>
        </w:rPr>
        <w:t>72</w:t>
      </w:r>
      <w:r w:rsidR="00D274F6" w:rsidRPr="00D274F6">
        <w:rPr>
          <w:rFonts w:ascii="Arial" w:hAnsi="Arial" w:cs="Arial"/>
          <w:b/>
          <w:bCs/>
          <w:i/>
          <w:iCs/>
          <w:sz w:val="20"/>
          <w:szCs w:val="20"/>
        </w:rPr>
        <w:t xml:space="preserve"> –</w:t>
      </w:r>
      <w:r w:rsidR="00D274F6">
        <w:rPr>
          <w:rFonts w:ascii="Arial" w:hAnsi="Arial" w:cs="Arial"/>
          <w:sz w:val="20"/>
          <w:szCs w:val="20"/>
        </w:rPr>
        <w:t xml:space="preserve"> </w:t>
      </w:r>
      <w:r>
        <w:rPr>
          <w:rFonts w:ascii="Arial" w:hAnsi="Arial" w:cs="Arial"/>
          <w:sz w:val="20"/>
          <w:szCs w:val="20"/>
        </w:rPr>
        <w:t>Le Président et les membres de la Chambre des députés perçoivent durant leur mandat parlementaire des indemnités mensuelles fixées par décret.</w:t>
      </w:r>
    </w:p>
    <w:p w14:paraId="11E39605" w14:textId="41B29D55" w:rsidR="00463A57" w:rsidRDefault="00463A57" w:rsidP="00463A57">
      <w:pPr>
        <w:spacing w:before="100" w:beforeAutospacing="1" w:after="0"/>
        <w:ind w:left="283"/>
        <w:jc w:val="both"/>
        <w:rPr>
          <w:rFonts w:ascii="Arial" w:hAnsi="Arial" w:cs="Arial"/>
          <w:sz w:val="20"/>
          <w:szCs w:val="20"/>
        </w:rPr>
      </w:pPr>
      <w:r w:rsidRPr="00DD3191">
        <w:rPr>
          <w:rFonts w:ascii="Arial" w:hAnsi="Arial" w:cs="Arial"/>
          <w:b/>
          <w:bCs/>
          <w:i/>
          <w:iCs/>
          <w:sz w:val="20"/>
          <w:szCs w:val="20"/>
        </w:rPr>
        <w:t>Art. 73 –</w:t>
      </w:r>
      <w:r>
        <w:rPr>
          <w:rFonts w:ascii="Arial" w:hAnsi="Arial" w:cs="Arial"/>
          <w:sz w:val="20"/>
          <w:szCs w:val="20"/>
        </w:rPr>
        <w:t xml:space="preserve"> Les indemnités prévues à l’</w:t>
      </w:r>
      <w:bookmarkStart w:id="0" w:name="_GoBack"/>
      <w:r>
        <w:rPr>
          <w:rFonts w:ascii="Arial" w:hAnsi="Arial" w:cs="Arial"/>
          <w:sz w:val="20"/>
          <w:szCs w:val="20"/>
        </w:rPr>
        <w:t>article</w:t>
      </w:r>
      <w:bookmarkEnd w:id="0"/>
      <w:r w:rsidR="00094D0A">
        <w:rPr>
          <w:rFonts w:ascii="Arial" w:hAnsi="Arial" w:cs="Arial"/>
          <w:sz w:val="20"/>
          <w:szCs w:val="20"/>
        </w:rPr>
        <w:t> </w:t>
      </w:r>
      <w:r>
        <w:rPr>
          <w:rFonts w:ascii="Arial" w:hAnsi="Arial" w:cs="Arial"/>
          <w:sz w:val="20"/>
          <w:szCs w:val="20"/>
        </w:rPr>
        <w:t xml:space="preserve">72 peuvent être fixées, à la demande de membres de la chambre des députés, sur la base des salaires, traitements et indemnités qui leurs étaient servis au titre de leur grade dans la fonction publique ou dans </w:t>
      </w:r>
      <w:r w:rsidR="00DD139A">
        <w:rPr>
          <w:rFonts w:ascii="Arial" w:hAnsi="Arial" w:cs="Arial"/>
          <w:sz w:val="20"/>
          <w:szCs w:val="20"/>
        </w:rPr>
        <w:t>les établissements</w:t>
      </w:r>
      <w:r>
        <w:rPr>
          <w:rFonts w:ascii="Arial" w:hAnsi="Arial" w:cs="Arial"/>
          <w:sz w:val="20"/>
          <w:szCs w:val="20"/>
        </w:rPr>
        <w:t xml:space="preserve"> publi</w:t>
      </w:r>
      <w:r w:rsidR="00094D0A">
        <w:rPr>
          <w:rFonts w:ascii="Arial" w:hAnsi="Arial" w:cs="Arial"/>
          <w:sz w:val="20"/>
          <w:szCs w:val="20"/>
        </w:rPr>
        <w:t>c</w:t>
      </w:r>
      <w:r>
        <w:rPr>
          <w:rFonts w:ascii="Arial" w:hAnsi="Arial" w:cs="Arial"/>
          <w:sz w:val="20"/>
          <w:szCs w:val="20"/>
        </w:rPr>
        <w:t xml:space="preserve">s ou dans les sociétés nationales auxquelles ils appartenaient. Dans ce cas, ils demeurent soumis à leur régime de retraite et de </w:t>
      </w:r>
      <w:r w:rsidR="00DD139A">
        <w:rPr>
          <w:rFonts w:ascii="Arial" w:hAnsi="Arial" w:cs="Arial"/>
          <w:sz w:val="20"/>
          <w:szCs w:val="20"/>
        </w:rPr>
        <w:t>couverture sociale obligatoire</w:t>
      </w:r>
      <w:r>
        <w:rPr>
          <w:rFonts w:ascii="Arial" w:hAnsi="Arial" w:cs="Arial"/>
          <w:sz w:val="20"/>
          <w:szCs w:val="20"/>
        </w:rPr>
        <w:t xml:space="preserve"> d’origine ainsi qu’au régime de rémunération appliqué à leurs homologues occupant des emplois publics.</w:t>
      </w:r>
    </w:p>
    <w:p w14:paraId="382D4222" w14:textId="53736B5F" w:rsidR="00463A57" w:rsidRDefault="00463A57" w:rsidP="00463A57">
      <w:pPr>
        <w:spacing w:before="100" w:beforeAutospacing="1" w:after="0"/>
        <w:ind w:left="283"/>
        <w:jc w:val="both"/>
        <w:rPr>
          <w:rFonts w:ascii="Arial" w:hAnsi="Arial" w:cs="Arial"/>
          <w:sz w:val="20"/>
          <w:szCs w:val="20"/>
        </w:rPr>
      </w:pPr>
      <w:r w:rsidRPr="00DD3191">
        <w:rPr>
          <w:rFonts w:ascii="Arial" w:hAnsi="Arial" w:cs="Arial"/>
          <w:b/>
          <w:bCs/>
          <w:i/>
          <w:iCs/>
          <w:sz w:val="20"/>
          <w:szCs w:val="20"/>
        </w:rPr>
        <w:t>Art. 74 –</w:t>
      </w:r>
      <w:r>
        <w:rPr>
          <w:rFonts w:ascii="Arial" w:hAnsi="Arial" w:cs="Arial"/>
          <w:sz w:val="20"/>
          <w:szCs w:val="20"/>
        </w:rPr>
        <w:t xml:space="preserve"> Sont abrogées les dispositions du décret-loi n°</w:t>
      </w:r>
      <w:r w:rsidR="00094D0A">
        <w:rPr>
          <w:rFonts w:ascii="Arial" w:hAnsi="Arial" w:cs="Arial"/>
          <w:sz w:val="20"/>
          <w:szCs w:val="20"/>
        </w:rPr>
        <w:t> </w:t>
      </w:r>
      <w:r>
        <w:rPr>
          <w:rFonts w:ascii="Arial" w:hAnsi="Arial" w:cs="Arial"/>
          <w:sz w:val="20"/>
          <w:szCs w:val="20"/>
        </w:rPr>
        <w:t>60-9 du 18 février 1960 relatif aux indemnités parlementaires ainsi que l’ensemble des textes qui l’ont modifié ou complété.</w:t>
      </w:r>
    </w:p>
    <w:p w14:paraId="3F867B43" w14:textId="24796695" w:rsidR="00463A57" w:rsidRDefault="00463A57" w:rsidP="00463A57">
      <w:pPr>
        <w:spacing w:before="100" w:beforeAutospacing="1" w:after="0"/>
        <w:ind w:left="283"/>
        <w:jc w:val="both"/>
        <w:rPr>
          <w:rFonts w:ascii="Arial" w:hAnsi="Arial" w:cs="Arial"/>
          <w:sz w:val="20"/>
          <w:szCs w:val="20"/>
        </w:rPr>
      </w:pPr>
      <w:r w:rsidRPr="00DD3191">
        <w:rPr>
          <w:rFonts w:ascii="Arial" w:hAnsi="Arial" w:cs="Arial"/>
          <w:b/>
          <w:bCs/>
          <w:i/>
          <w:iCs/>
          <w:sz w:val="20"/>
          <w:szCs w:val="20"/>
        </w:rPr>
        <w:t>Art. 75 –</w:t>
      </w:r>
      <w:r>
        <w:rPr>
          <w:rFonts w:ascii="Arial" w:hAnsi="Arial" w:cs="Arial"/>
          <w:sz w:val="20"/>
          <w:szCs w:val="20"/>
        </w:rPr>
        <w:t xml:space="preserve"> Est modifié l’article</w:t>
      </w:r>
      <w:r w:rsidR="00094D0A">
        <w:rPr>
          <w:rFonts w:ascii="Arial" w:hAnsi="Arial" w:cs="Arial"/>
          <w:sz w:val="20"/>
          <w:szCs w:val="20"/>
        </w:rPr>
        <w:t> </w:t>
      </w:r>
      <w:r>
        <w:rPr>
          <w:rFonts w:ascii="Arial" w:hAnsi="Arial" w:cs="Arial"/>
          <w:sz w:val="20"/>
          <w:szCs w:val="20"/>
        </w:rPr>
        <w:t>4 de la loi n°</w:t>
      </w:r>
      <w:r w:rsidR="00094D0A">
        <w:rPr>
          <w:rFonts w:ascii="Arial" w:hAnsi="Arial" w:cs="Arial"/>
          <w:sz w:val="20"/>
          <w:szCs w:val="20"/>
        </w:rPr>
        <w:t> </w:t>
      </w:r>
      <w:r>
        <w:rPr>
          <w:rFonts w:ascii="Arial" w:hAnsi="Arial" w:cs="Arial"/>
          <w:sz w:val="20"/>
          <w:szCs w:val="20"/>
        </w:rPr>
        <w:t>85-16 du 8 mars 1985 fixant le régime de retraite des membres de la chambre des députés.</w:t>
      </w:r>
    </w:p>
    <w:p w14:paraId="4C50BB29" w14:textId="1F809C99" w:rsidR="00463A57" w:rsidRDefault="00463A57" w:rsidP="00463A57">
      <w:pPr>
        <w:spacing w:before="100" w:beforeAutospacing="1" w:after="0"/>
        <w:ind w:left="283"/>
        <w:jc w:val="both"/>
        <w:rPr>
          <w:rFonts w:ascii="Arial" w:hAnsi="Arial" w:cs="Arial"/>
          <w:sz w:val="20"/>
          <w:szCs w:val="20"/>
        </w:rPr>
      </w:pPr>
      <w:r w:rsidRPr="00DD3191">
        <w:rPr>
          <w:rFonts w:ascii="Arial" w:hAnsi="Arial" w:cs="Arial"/>
          <w:b/>
          <w:bCs/>
          <w:i/>
          <w:iCs/>
          <w:sz w:val="20"/>
          <w:szCs w:val="20"/>
        </w:rPr>
        <w:t>Art. 4 (nouveau) –</w:t>
      </w:r>
      <w:r>
        <w:rPr>
          <w:rFonts w:ascii="Arial" w:hAnsi="Arial" w:cs="Arial"/>
          <w:sz w:val="20"/>
          <w:szCs w:val="20"/>
        </w:rPr>
        <w:t xml:space="preserve"> Le droit de jouissance de la pension de retraite prévu par la présente loi est acquis à l’expiration de la législature.</w:t>
      </w:r>
    </w:p>
    <w:p w14:paraId="2E366257" w14:textId="14908951" w:rsidR="00463A57" w:rsidRPr="00DD139A" w:rsidRDefault="00463A57" w:rsidP="00463A57">
      <w:pPr>
        <w:spacing w:before="100" w:beforeAutospacing="1" w:after="0"/>
        <w:ind w:left="283"/>
        <w:jc w:val="both"/>
        <w:rPr>
          <w:rFonts w:ascii="Arial" w:hAnsi="Arial" w:cs="Arial"/>
          <w:sz w:val="20"/>
          <w:szCs w:val="20"/>
        </w:rPr>
      </w:pPr>
      <w:r w:rsidRPr="00DD139A">
        <w:rPr>
          <w:rFonts w:ascii="Arial" w:hAnsi="Arial" w:cs="Arial"/>
          <w:sz w:val="20"/>
          <w:szCs w:val="20"/>
        </w:rPr>
        <w:t xml:space="preserve">Ce droit sera maintenu en cas de </w:t>
      </w:r>
      <w:r w:rsidR="00DD139A" w:rsidRPr="00DD139A">
        <w:rPr>
          <w:rFonts w:ascii="Arial" w:hAnsi="Arial" w:cs="Arial"/>
          <w:sz w:val="20"/>
          <w:szCs w:val="20"/>
        </w:rPr>
        <w:t>réélection du</w:t>
      </w:r>
      <w:r w:rsidRPr="00DD139A">
        <w:rPr>
          <w:rFonts w:ascii="Arial" w:hAnsi="Arial" w:cs="Arial"/>
          <w:sz w:val="20"/>
          <w:szCs w:val="20"/>
        </w:rPr>
        <w:t xml:space="preserve"> député à la chambre des députés.</w:t>
      </w:r>
    </w:p>
    <w:p w14:paraId="7B76F61B" w14:textId="7A53591A" w:rsidR="00DD139A" w:rsidRPr="00DD139A" w:rsidRDefault="00463A57" w:rsidP="00463A57">
      <w:pPr>
        <w:spacing w:before="100" w:beforeAutospacing="1" w:after="0"/>
        <w:ind w:left="283"/>
        <w:jc w:val="both"/>
        <w:rPr>
          <w:rFonts w:ascii="Arial" w:hAnsi="Arial" w:cs="Arial"/>
          <w:sz w:val="20"/>
          <w:szCs w:val="20"/>
        </w:rPr>
      </w:pPr>
      <w:r w:rsidRPr="00DD139A">
        <w:rPr>
          <w:rFonts w:ascii="Arial" w:hAnsi="Arial" w:cs="Arial"/>
          <w:sz w:val="20"/>
          <w:szCs w:val="20"/>
        </w:rPr>
        <w:t xml:space="preserve">La jouissance de la pension de retraite est suspendue dans le cas où l’intéressé </w:t>
      </w:r>
      <w:r w:rsidR="00DD139A" w:rsidRPr="00DD139A">
        <w:rPr>
          <w:rFonts w:ascii="Arial" w:hAnsi="Arial" w:cs="Arial"/>
          <w:sz w:val="20"/>
          <w:szCs w:val="20"/>
        </w:rPr>
        <w:t>est nommé à une fonction publique ou s’il est établi qu’il exerce une activité professionnelle rétribuée ; dans ce dernier cas, le droit de la jouissance est acquis à l’âge de 50 ans.</w:t>
      </w:r>
    </w:p>
    <w:p w14:paraId="55639388" w14:textId="03AAC2E6" w:rsidR="00DD139A" w:rsidRPr="00DD139A" w:rsidRDefault="00DD139A" w:rsidP="00463A57">
      <w:pPr>
        <w:spacing w:before="100" w:beforeAutospacing="1" w:after="0"/>
        <w:ind w:left="283"/>
        <w:jc w:val="both"/>
        <w:rPr>
          <w:rFonts w:ascii="Arial" w:hAnsi="Arial" w:cs="Arial"/>
          <w:sz w:val="20"/>
          <w:szCs w:val="20"/>
        </w:rPr>
      </w:pPr>
      <w:r>
        <w:rPr>
          <w:rFonts w:ascii="Arial" w:hAnsi="Arial" w:cs="Arial"/>
          <w:b/>
          <w:bCs/>
          <w:i/>
          <w:iCs/>
          <w:sz w:val="20"/>
          <w:szCs w:val="20"/>
        </w:rPr>
        <w:t xml:space="preserve">Art. 76 – </w:t>
      </w:r>
      <w:r w:rsidRPr="00DD139A">
        <w:rPr>
          <w:rFonts w:ascii="Arial" w:hAnsi="Arial" w:cs="Arial"/>
          <w:sz w:val="20"/>
          <w:szCs w:val="20"/>
        </w:rPr>
        <w:t>Est modifié le paragraphe</w:t>
      </w:r>
      <w:r w:rsidR="00094D0A">
        <w:rPr>
          <w:rFonts w:ascii="Arial" w:hAnsi="Arial" w:cs="Arial"/>
          <w:sz w:val="20"/>
          <w:szCs w:val="20"/>
        </w:rPr>
        <w:t> </w:t>
      </w:r>
      <w:r w:rsidRPr="00DD139A">
        <w:rPr>
          <w:rFonts w:ascii="Arial" w:hAnsi="Arial" w:cs="Arial"/>
          <w:sz w:val="20"/>
          <w:szCs w:val="20"/>
        </w:rPr>
        <w:t>1 de l’article</w:t>
      </w:r>
      <w:r w:rsidR="00094D0A">
        <w:rPr>
          <w:rFonts w:ascii="Arial" w:hAnsi="Arial" w:cs="Arial"/>
          <w:sz w:val="20"/>
          <w:szCs w:val="20"/>
        </w:rPr>
        <w:t> </w:t>
      </w:r>
      <w:r w:rsidRPr="00DD139A">
        <w:rPr>
          <w:rFonts w:ascii="Arial" w:hAnsi="Arial" w:cs="Arial"/>
          <w:sz w:val="20"/>
          <w:szCs w:val="20"/>
        </w:rPr>
        <w:t>7 de la loi n°</w:t>
      </w:r>
      <w:r w:rsidR="00094D0A">
        <w:rPr>
          <w:rFonts w:ascii="Arial" w:hAnsi="Arial" w:cs="Arial"/>
          <w:sz w:val="20"/>
          <w:szCs w:val="20"/>
        </w:rPr>
        <w:t> </w:t>
      </w:r>
      <w:r w:rsidRPr="00DD139A">
        <w:rPr>
          <w:rFonts w:ascii="Arial" w:hAnsi="Arial" w:cs="Arial"/>
          <w:sz w:val="20"/>
          <w:szCs w:val="20"/>
        </w:rPr>
        <w:t>85-16 du 8 mars 1985 fixant le régime de retraite des membres de la chambre des députés ainsi qu’il suit :</w:t>
      </w:r>
    </w:p>
    <w:p w14:paraId="1441E154" w14:textId="4390C026" w:rsidR="00DD139A" w:rsidRPr="00DD139A" w:rsidRDefault="00DD139A" w:rsidP="00DD139A">
      <w:pPr>
        <w:spacing w:before="100" w:beforeAutospacing="1" w:after="0"/>
        <w:ind w:left="283"/>
        <w:jc w:val="both"/>
        <w:rPr>
          <w:rFonts w:ascii="Arial" w:hAnsi="Arial" w:cs="Arial"/>
          <w:sz w:val="20"/>
          <w:szCs w:val="20"/>
        </w:rPr>
      </w:pPr>
      <w:r>
        <w:rPr>
          <w:rFonts w:ascii="Arial" w:hAnsi="Arial" w:cs="Arial"/>
          <w:b/>
          <w:bCs/>
          <w:i/>
          <w:iCs/>
          <w:sz w:val="20"/>
          <w:szCs w:val="20"/>
        </w:rPr>
        <w:t xml:space="preserve">Art. 7 (paragraphe premier nouveau) – </w:t>
      </w:r>
      <w:r w:rsidRPr="00DD139A">
        <w:rPr>
          <w:rFonts w:ascii="Arial" w:hAnsi="Arial" w:cs="Arial"/>
          <w:sz w:val="20"/>
          <w:szCs w:val="20"/>
        </w:rPr>
        <w:t>Nonobstant la condition d’âge prévue à l’article</w:t>
      </w:r>
      <w:r w:rsidR="00094D0A">
        <w:rPr>
          <w:rFonts w:ascii="Arial" w:hAnsi="Arial" w:cs="Arial"/>
          <w:sz w:val="20"/>
          <w:szCs w:val="20"/>
        </w:rPr>
        <w:t> </w:t>
      </w:r>
      <w:r w:rsidRPr="00DD139A">
        <w:rPr>
          <w:rFonts w:ascii="Arial" w:hAnsi="Arial" w:cs="Arial"/>
          <w:sz w:val="20"/>
          <w:szCs w:val="20"/>
        </w:rPr>
        <w:t>41 de la loi n°</w:t>
      </w:r>
      <w:r w:rsidR="00094D0A">
        <w:rPr>
          <w:rFonts w:ascii="Arial" w:hAnsi="Arial" w:cs="Arial"/>
          <w:sz w:val="20"/>
          <w:szCs w:val="20"/>
        </w:rPr>
        <w:t> </w:t>
      </w:r>
      <w:r w:rsidRPr="00DD139A">
        <w:rPr>
          <w:rFonts w:ascii="Arial" w:hAnsi="Arial" w:cs="Arial"/>
          <w:sz w:val="20"/>
          <w:szCs w:val="20"/>
        </w:rPr>
        <w:t>85-12 du 5 mars 1985 relative au régime de pensions civiles et militaires de retraite et de survivants dans le secteur public, le député a droit au cumul de la pension de retraite de député et d’autres pensions de retraite au titre des années d’activités accomplies avant ou après l’exercice des fonctions de député.</w:t>
      </w:r>
    </w:p>
    <w:p w14:paraId="51AA4497" w14:textId="01A76241" w:rsidR="00463A57" w:rsidRPr="00DD139A" w:rsidRDefault="00DD139A" w:rsidP="00DD139A">
      <w:pPr>
        <w:spacing w:before="100" w:beforeAutospacing="1" w:after="0"/>
        <w:ind w:left="283"/>
        <w:jc w:val="both"/>
        <w:rPr>
          <w:rFonts w:ascii="Arial" w:hAnsi="Arial" w:cs="Arial"/>
          <w:sz w:val="20"/>
          <w:szCs w:val="20"/>
        </w:rPr>
      </w:pPr>
      <w:r w:rsidRPr="00DD139A">
        <w:rPr>
          <w:rFonts w:ascii="Arial" w:hAnsi="Arial" w:cs="Arial"/>
          <w:sz w:val="20"/>
          <w:szCs w:val="20"/>
        </w:rPr>
        <w:t>Toutefois, le montant global de la pension ne peut dépasser le pourcentage maximum prévu par le régime de retraite des fonctionnaires de l’</w:t>
      </w:r>
      <w:r w:rsidR="00094D0A">
        <w:rPr>
          <w:rFonts w:ascii="Arial" w:hAnsi="Arial" w:cs="Arial"/>
          <w:sz w:val="20"/>
          <w:szCs w:val="20"/>
        </w:rPr>
        <w:t>É</w:t>
      </w:r>
      <w:r w:rsidRPr="00DD139A">
        <w:rPr>
          <w:rFonts w:ascii="Arial" w:hAnsi="Arial" w:cs="Arial"/>
          <w:sz w:val="20"/>
          <w:szCs w:val="20"/>
        </w:rPr>
        <w:t xml:space="preserve">tat ou le régime de retraite des membres de la chambre des députés ou tout autre régime de retraite. </w:t>
      </w:r>
    </w:p>
    <w:p w14:paraId="78A977C2" w14:textId="4B2375EF" w:rsidR="00EB590F" w:rsidRPr="005702D0" w:rsidRDefault="00EB590F" w:rsidP="00D274F6">
      <w:pPr>
        <w:spacing w:before="100" w:beforeAutospacing="1" w:after="0"/>
        <w:ind w:left="283"/>
        <w:jc w:val="both"/>
        <w:rPr>
          <w:rFonts w:ascii="Arial" w:hAnsi="Arial" w:cs="Arial"/>
          <w:b/>
          <w:bCs/>
          <w:sz w:val="20"/>
          <w:szCs w:val="20"/>
        </w:rPr>
      </w:pPr>
    </w:p>
    <w:sectPr w:rsidR="00EB590F" w:rsidRPr="005702D0"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89EB" w14:textId="77777777" w:rsidR="00FA7CC1" w:rsidRDefault="00FA7CC1" w:rsidP="008F3F2D">
      <w:r>
        <w:separator/>
      </w:r>
    </w:p>
  </w:endnote>
  <w:endnote w:type="continuationSeparator" w:id="0">
    <w:p w14:paraId="00DD2E05" w14:textId="77777777" w:rsidR="00FA7CC1" w:rsidRDefault="00FA7CC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0C3F27" w:rsidRPr="00C64B86" w:rsidRDefault="000C3F2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D139A">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3191">
                            <w:rPr>
                              <w:rFonts w:ascii="Arial" w:hAnsi="Arial" w:cs="Arial"/>
                              <w:noProof/>
                              <w:sz w:val="18"/>
                              <w:szCs w:val="18"/>
                            </w:rPr>
                            <w:t>1</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D139A">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3191">
                      <w:rPr>
                        <w:rFonts w:ascii="Arial" w:hAnsi="Arial" w:cs="Arial"/>
                        <w:noProof/>
                        <w:sz w:val="18"/>
                        <w:szCs w:val="18"/>
                      </w:rPr>
                      <w:t>1</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0C3F27" w:rsidRDefault="000C3F27">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94D0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94D0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94D0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94D0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A825" w14:textId="77777777" w:rsidR="00094D0A" w:rsidRDefault="00094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86A4F" w14:textId="77777777" w:rsidR="00FA7CC1" w:rsidRDefault="00FA7CC1" w:rsidP="008F3F2D">
      <w:r>
        <w:separator/>
      </w:r>
    </w:p>
  </w:footnote>
  <w:footnote w:type="continuationSeparator" w:id="0">
    <w:p w14:paraId="3B3DA8C5" w14:textId="77777777" w:rsidR="00FA7CC1" w:rsidRDefault="00FA7CC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0C3F27" w:rsidRDefault="000C3F27">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0C3F27" w:rsidRDefault="000C3F27">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A1F6" w14:textId="77777777" w:rsidR="00094D0A" w:rsidRDefault="00094D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3183287"/>
    <w:multiLevelType w:val="hybridMultilevel"/>
    <w:tmpl w:val="59E4D7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026E12"/>
    <w:multiLevelType w:val="hybridMultilevel"/>
    <w:tmpl w:val="5F0CCA2C"/>
    <w:lvl w:ilvl="0" w:tplc="54AE307C">
      <w:start w:val="1"/>
      <w:numFmt w:val="decimal"/>
      <w:lvlText w:val="%1-"/>
      <w:lvlJc w:val="left"/>
      <w:pPr>
        <w:ind w:left="643" w:hanging="360"/>
      </w:pPr>
      <w:rPr>
        <w:rFonts w:ascii="Arial" w:hAnsi="Arial" w:cs="Arial" w:hint="default"/>
        <w:sz w:val="2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nsid w:val="1E2D6C1E"/>
    <w:multiLevelType w:val="hybridMultilevel"/>
    <w:tmpl w:val="03F2BC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6E171A"/>
    <w:multiLevelType w:val="hybridMultilevel"/>
    <w:tmpl w:val="DD3E0C5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8"/>
  </w:num>
  <w:num w:numId="3">
    <w:abstractNumId w:val="16"/>
  </w:num>
  <w:num w:numId="4">
    <w:abstractNumId w:val="9"/>
  </w:num>
  <w:num w:numId="5">
    <w:abstractNumId w:val="14"/>
  </w:num>
  <w:num w:numId="6">
    <w:abstractNumId w:val="18"/>
  </w:num>
  <w:num w:numId="7">
    <w:abstractNumId w:val="13"/>
  </w:num>
  <w:num w:numId="8">
    <w:abstractNumId w:val="1"/>
  </w:num>
  <w:num w:numId="9">
    <w:abstractNumId w:val="12"/>
  </w:num>
  <w:num w:numId="10">
    <w:abstractNumId w:val="11"/>
  </w:num>
  <w:num w:numId="11">
    <w:abstractNumId w:val="7"/>
  </w:num>
  <w:num w:numId="12">
    <w:abstractNumId w:val="17"/>
  </w:num>
  <w:num w:numId="13">
    <w:abstractNumId w:val="4"/>
  </w:num>
  <w:num w:numId="14">
    <w:abstractNumId w:val="15"/>
  </w:num>
  <w:num w:numId="15">
    <w:abstractNumId w:val="2"/>
  </w:num>
  <w:num w:numId="16">
    <w:abstractNumId w:val="5"/>
  </w:num>
  <w:num w:numId="17">
    <w:abstractNumId w:val="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94D0A"/>
    <w:rsid w:val="000B0D20"/>
    <w:rsid w:val="000C24FA"/>
    <w:rsid w:val="000C3F27"/>
    <w:rsid w:val="000C7FAD"/>
    <w:rsid w:val="000D0DE1"/>
    <w:rsid w:val="000F339F"/>
    <w:rsid w:val="001323AC"/>
    <w:rsid w:val="00137334"/>
    <w:rsid w:val="001A535F"/>
    <w:rsid w:val="001B250B"/>
    <w:rsid w:val="001E10BA"/>
    <w:rsid w:val="001E5DD5"/>
    <w:rsid w:val="001E6787"/>
    <w:rsid w:val="001F6FB9"/>
    <w:rsid w:val="0020398F"/>
    <w:rsid w:val="002B19EE"/>
    <w:rsid w:val="00354137"/>
    <w:rsid w:val="00356C00"/>
    <w:rsid w:val="00383314"/>
    <w:rsid w:val="00385334"/>
    <w:rsid w:val="003B6CD4"/>
    <w:rsid w:val="00463A57"/>
    <w:rsid w:val="00476C3F"/>
    <w:rsid w:val="004808F1"/>
    <w:rsid w:val="004977E0"/>
    <w:rsid w:val="004E246D"/>
    <w:rsid w:val="00503E5A"/>
    <w:rsid w:val="005702D0"/>
    <w:rsid w:val="00584322"/>
    <w:rsid w:val="00595DBD"/>
    <w:rsid w:val="005E7CA9"/>
    <w:rsid w:val="005F7BF4"/>
    <w:rsid w:val="0060594F"/>
    <w:rsid w:val="006353B0"/>
    <w:rsid w:val="00684129"/>
    <w:rsid w:val="006A3BF2"/>
    <w:rsid w:val="007244D3"/>
    <w:rsid w:val="0075404E"/>
    <w:rsid w:val="007E7F34"/>
    <w:rsid w:val="00846ED4"/>
    <w:rsid w:val="00847F00"/>
    <w:rsid w:val="0089552E"/>
    <w:rsid w:val="008F3F2D"/>
    <w:rsid w:val="00911CFA"/>
    <w:rsid w:val="009157FD"/>
    <w:rsid w:val="00957F0E"/>
    <w:rsid w:val="0097472C"/>
    <w:rsid w:val="00993EF9"/>
    <w:rsid w:val="009E055F"/>
    <w:rsid w:val="00A00644"/>
    <w:rsid w:val="00A0369D"/>
    <w:rsid w:val="00A04F09"/>
    <w:rsid w:val="00A23AAD"/>
    <w:rsid w:val="00A24F23"/>
    <w:rsid w:val="00A77B68"/>
    <w:rsid w:val="00A84B7B"/>
    <w:rsid w:val="00A85FD5"/>
    <w:rsid w:val="00A90F21"/>
    <w:rsid w:val="00A9459F"/>
    <w:rsid w:val="00AD2268"/>
    <w:rsid w:val="00B05438"/>
    <w:rsid w:val="00B2406A"/>
    <w:rsid w:val="00B507B9"/>
    <w:rsid w:val="00B617F1"/>
    <w:rsid w:val="00C1635D"/>
    <w:rsid w:val="00C61994"/>
    <w:rsid w:val="00C64B86"/>
    <w:rsid w:val="00CA3D64"/>
    <w:rsid w:val="00CA544B"/>
    <w:rsid w:val="00CC4ADF"/>
    <w:rsid w:val="00D06975"/>
    <w:rsid w:val="00D07749"/>
    <w:rsid w:val="00D1177F"/>
    <w:rsid w:val="00D274F6"/>
    <w:rsid w:val="00D36176"/>
    <w:rsid w:val="00DC4590"/>
    <w:rsid w:val="00DD139A"/>
    <w:rsid w:val="00DD3191"/>
    <w:rsid w:val="00E10A35"/>
    <w:rsid w:val="00E57DAB"/>
    <w:rsid w:val="00E953A2"/>
    <w:rsid w:val="00EB590F"/>
    <w:rsid w:val="00EF16C9"/>
    <w:rsid w:val="00F57B75"/>
    <w:rsid w:val="00FA7CC1"/>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839A-0F1F-4CF8-AD62-1535D4FD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4</cp:revision>
  <cp:lastPrinted>2015-12-02T11:17:00Z</cp:lastPrinted>
  <dcterms:created xsi:type="dcterms:W3CDTF">2015-12-02T11:17:00Z</dcterms:created>
  <dcterms:modified xsi:type="dcterms:W3CDTF">2015-12-02T11:19:00Z</dcterms:modified>
</cp:coreProperties>
</file>