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3BD54045" w14:textId="77777777" w:rsidR="00C15A83" w:rsidRPr="00C15A83" w:rsidRDefault="00C15A83" w:rsidP="00C15A83">
      <w:pPr>
        <w:spacing w:before="100" w:beforeAutospacing="1" w:after="0"/>
        <w:ind w:left="283"/>
        <w:jc w:val="both"/>
        <w:rPr>
          <w:rFonts w:ascii="Arial" w:eastAsia="Calibri" w:hAnsi="Arial" w:cs="Arial"/>
          <w:b/>
          <w:color w:val="000000"/>
          <w:sz w:val="24"/>
          <w:szCs w:val="24"/>
          <w:lang w:eastAsia="en-US"/>
        </w:rPr>
      </w:pPr>
      <w:r w:rsidRPr="00C15A83">
        <w:rPr>
          <w:rFonts w:ascii="Arial" w:eastAsia="Calibri" w:hAnsi="Arial" w:cs="Arial"/>
          <w:b/>
          <w:color w:val="000000"/>
          <w:spacing w:val="1"/>
          <w:sz w:val="24"/>
          <w:szCs w:val="24"/>
          <w:lang w:eastAsia="en-US"/>
        </w:rPr>
        <w:t>Loi n° 70-10 du 1</w:t>
      </w:r>
      <w:r w:rsidRPr="00C15A83">
        <w:rPr>
          <w:rFonts w:ascii="Arial" w:eastAsia="Calibri" w:hAnsi="Arial" w:cs="Arial"/>
          <w:b/>
          <w:color w:val="000000"/>
          <w:spacing w:val="1"/>
          <w:sz w:val="24"/>
          <w:szCs w:val="24"/>
          <w:vertAlign w:val="superscript"/>
          <w:lang w:eastAsia="en-US"/>
        </w:rPr>
        <w:t>er</w:t>
      </w:r>
      <w:r w:rsidRPr="00C15A83">
        <w:rPr>
          <w:rFonts w:ascii="Arial" w:eastAsia="Calibri" w:hAnsi="Arial" w:cs="Arial"/>
          <w:b/>
          <w:color w:val="000000"/>
          <w:spacing w:val="1"/>
          <w:sz w:val="24"/>
          <w:szCs w:val="24"/>
          <w:lang w:eastAsia="en-US"/>
        </w:rPr>
        <w:t xml:space="preserve">  Avril 1970 portant organisation de la Haute </w:t>
      </w:r>
      <w:r w:rsidRPr="00C15A83">
        <w:rPr>
          <w:rFonts w:ascii="Arial" w:eastAsia="Calibri" w:hAnsi="Arial" w:cs="Arial"/>
          <w:b/>
          <w:color w:val="000000"/>
          <w:sz w:val="24"/>
          <w:szCs w:val="24"/>
          <w:lang w:eastAsia="en-US"/>
        </w:rPr>
        <w:t>Cour</w:t>
      </w:r>
    </w:p>
    <w:p w14:paraId="7F0F68BC"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Au nom du peuple,</w:t>
      </w:r>
    </w:p>
    <w:p w14:paraId="0D31F40E"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Nous, Habib Bourguiba, Président de la République tunisienne;</w:t>
      </w:r>
    </w:p>
    <w:p w14:paraId="506C6506" w14:textId="38DD4C49"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 xml:space="preserve">L'Assemblée Nationale ayant </w:t>
      </w:r>
      <w:r w:rsidRPr="00C15A83">
        <w:rPr>
          <w:rFonts w:ascii="Arial" w:eastAsia="Calibri" w:hAnsi="Arial" w:cs="Arial"/>
          <w:color w:val="000000"/>
          <w:spacing w:val="5"/>
          <w:sz w:val="20"/>
          <w:szCs w:val="20"/>
          <w:lang w:eastAsia="en-US"/>
        </w:rPr>
        <w:t>adopté</w:t>
      </w:r>
      <w:r w:rsidRPr="00C15A83">
        <w:rPr>
          <w:rFonts w:ascii="Arial" w:eastAsia="Calibri" w:hAnsi="Arial" w:cs="Arial"/>
          <w:color w:val="000000"/>
          <w:spacing w:val="5"/>
          <w:sz w:val="20"/>
          <w:szCs w:val="20"/>
          <w:lang w:eastAsia="en-US"/>
        </w:rPr>
        <w:t>;</w:t>
      </w:r>
    </w:p>
    <w:p w14:paraId="696C69E6"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Promulguons la loi dont la teneur suit :</w:t>
      </w:r>
    </w:p>
    <w:p w14:paraId="7F278AC5" w14:textId="77777777" w:rsidR="00C15A83" w:rsidRPr="00C15A83" w:rsidRDefault="00C15A83" w:rsidP="00C15A83">
      <w:pPr>
        <w:spacing w:before="100" w:beforeAutospacing="1" w:after="0"/>
        <w:ind w:left="283"/>
        <w:jc w:val="center"/>
        <w:rPr>
          <w:rFonts w:ascii="Arial" w:eastAsia="Calibri" w:hAnsi="Arial" w:cs="Arial"/>
          <w:b/>
          <w:bCs/>
          <w:color w:val="000000"/>
          <w:spacing w:val="6"/>
          <w:sz w:val="20"/>
          <w:szCs w:val="20"/>
          <w:lang w:eastAsia="en-US"/>
        </w:rPr>
      </w:pPr>
      <w:r w:rsidRPr="00C15A83">
        <w:rPr>
          <w:rFonts w:ascii="Arial" w:eastAsia="Calibri" w:hAnsi="Arial" w:cs="Arial"/>
          <w:b/>
          <w:bCs/>
          <w:color w:val="000000"/>
          <w:spacing w:val="6"/>
          <w:sz w:val="20"/>
          <w:szCs w:val="20"/>
          <w:lang w:eastAsia="en-US"/>
        </w:rPr>
        <w:t>Chapitre I – Compétence</w:t>
      </w:r>
    </w:p>
    <w:p w14:paraId="2B03AF30"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6"/>
          <w:sz w:val="20"/>
          <w:szCs w:val="20"/>
          <w:lang w:eastAsia="en-US"/>
        </w:rPr>
        <w:t xml:space="preserve">Article premier – </w:t>
      </w:r>
      <w:r w:rsidRPr="00C15A83">
        <w:rPr>
          <w:rFonts w:ascii="Arial" w:eastAsia="Calibri" w:hAnsi="Arial" w:cs="Arial"/>
          <w:color w:val="000000"/>
          <w:spacing w:val="5"/>
          <w:sz w:val="20"/>
          <w:szCs w:val="20"/>
          <w:lang w:eastAsia="en-US"/>
        </w:rPr>
        <w:t>La Haute Cour est compétente regard des crimes de haute trahison commis par un membre du Gouvernement.</w:t>
      </w:r>
    </w:p>
    <w:p w14:paraId="4764956F" w14:textId="77777777" w:rsidR="00C15A83" w:rsidRPr="00C15A83" w:rsidRDefault="00C15A83" w:rsidP="00C15A83">
      <w:pPr>
        <w:spacing w:before="100" w:beforeAutospacing="1" w:after="0"/>
        <w:ind w:left="283"/>
        <w:jc w:val="both"/>
        <w:rPr>
          <w:rFonts w:ascii="Arial" w:eastAsia="Calibri" w:hAnsi="Arial" w:cs="Arial"/>
          <w:b/>
          <w:bCs/>
          <w:color w:val="000000"/>
          <w:spacing w:val="6"/>
          <w:sz w:val="20"/>
          <w:szCs w:val="20"/>
          <w:lang w:eastAsia="en-US"/>
        </w:rPr>
      </w:pPr>
      <w:r w:rsidRPr="00C15A83">
        <w:rPr>
          <w:rFonts w:ascii="Arial" w:eastAsia="Calibri" w:hAnsi="Arial" w:cs="Arial"/>
          <w:b/>
          <w:bCs/>
          <w:i/>
          <w:iCs/>
          <w:color w:val="000000"/>
          <w:spacing w:val="2"/>
          <w:sz w:val="20"/>
          <w:szCs w:val="20"/>
          <w:lang w:eastAsia="en-US"/>
        </w:rPr>
        <w:t xml:space="preserve">Art. 2 – </w:t>
      </w:r>
      <w:r w:rsidRPr="00C15A83">
        <w:rPr>
          <w:rFonts w:ascii="Arial" w:eastAsia="Calibri" w:hAnsi="Arial" w:cs="Arial"/>
          <w:color w:val="000000"/>
          <w:spacing w:val="5"/>
          <w:sz w:val="20"/>
          <w:szCs w:val="20"/>
          <w:lang w:eastAsia="en-US"/>
        </w:rPr>
        <w:t>Constituent le crime de haute trahison de la part d'un membre du Gouvernement :</w:t>
      </w:r>
    </w:p>
    <w:p w14:paraId="78C5AAB9" w14:textId="77777777" w:rsidR="00C15A83" w:rsidRPr="00C15A83" w:rsidRDefault="00C15A83" w:rsidP="00C15A83">
      <w:pPr>
        <w:numPr>
          <w:ilvl w:val="0"/>
          <w:numId w:val="12"/>
        </w:numPr>
        <w:spacing w:before="100" w:beforeAutospacing="1" w:after="0"/>
        <w:ind w:left="1494"/>
        <w:contextualSpacing/>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les atteintes à la sûreté de l'Etat;</w:t>
      </w:r>
    </w:p>
    <w:p w14:paraId="52336E85" w14:textId="77777777" w:rsidR="00C15A83" w:rsidRPr="00C15A83" w:rsidRDefault="00C15A83" w:rsidP="00C15A83">
      <w:pPr>
        <w:numPr>
          <w:ilvl w:val="0"/>
          <w:numId w:val="12"/>
        </w:numPr>
        <w:spacing w:before="100" w:beforeAutospacing="1" w:after="0"/>
        <w:ind w:left="1494"/>
        <w:contextualSpacing/>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la pratique délibérée et systématique de l'abus d'autorité ou d'actions prises en violation de la Constitution ou préjudiciables aux intérêts supérieurs de la Nation;</w:t>
      </w:r>
    </w:p>
    <w:p w14:paraId="1A23D323" w14:textId="77777777" w:rsidR="00C15A83" w:rsidRPr="00C15A83" w:rsidRDefault="00C15A83" w:rsidP="00C15A83">
      <w:pPr>
        <w:numPr>
          <w:ilvl w:val="0"/>
          <w:numId w:val="12"/>
        </w:numPr>
        <w:spacing w:before="100" w:beforeAutospacing="1" w:after="0"/>
        <w:ind w:left="1494"/>
        <w:contextualSpacing/>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le fait d'induire sciemment en erreur le Chef de l'Etat portant ainsi atteinte aux intérêts supérieurs de la Nation;</w:t>
      </w:r>
    </w:p>
    <w:p w14:paraId="6B67B1FD" w14:textId="77777777" w:rsidR="00C15A83" w:rsidRPr="00C15A83" w:rsidRDefault="00C15A83" w:rsidP="00C15A83">
      <w:pPr>
        <w:numPr>
          <w:ilvl w:val="0"/>
          <w:numId w:val="12"/>
        </w:numPr>
        <w:spacing w:before="100" w:beforeAutospacing="1" w:after="0"/>
        <w:ind w:left="1494"/>
        <w:contextualSpacing/>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tout acte accompli dans l'exercice de ses fonctions et qualifie crime ou délit au moment où il a été accompli et qui porte atteinte au prestige de l’Etat.</w:t>
      </w:r>
    </w:p>
    <w:p w14:paraId="042433AB"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3"/>
          <w:sz w:val="20"/>
          <w:szCs w:val="20"/>
          <w:lang w:eastAsia="en-US"/>
        </w:rPr>
        <w:t xml:space="preserve">Art. 3 – </w:t>
      </w:r>
      <w:r w:rsidRPr="00C15A83">
        <w:rPr>
          <w:rFonts w:ascii="Arial" w:eastAsia="Calibri" w:hAnsi="Arial" w:cs="Arial"/>
          <w:color w:val="000000"/>
          <w:spacing w:val="5"/>
          <w:sz w:val="20"/>
          <w:szCs w:val="20"/>
          <w:lang w:eastAsia="en-US"/>
        </w:rPr>
        <w:t>La Haute Cour prononce contre le membre du Gouvernement coupable des faits définis aux paragraphes 2 et 3 de l’article 2 les peines prévues par le Code Pénal pour les crimes contre la sûreté de l'Etat, assorties le cas échéant de la privation des droits civils et politiques.</w:t>
      </w:r>
    </w:p>
    <w:p w14:paraId="7BDEEB3A" w14:textId="08EE9AAA"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 xml:space="preserve">Dans les cas prévus aux paragraphes </w:t>
      </w:r>
      <w:r>
        <w:rPr>
          <w:rFonts w:ascii="Arial" w:eastAsia="Calibri" w:hAnsi="Arial" w:cs="Arial"/>
          <w:color w:val="000000"/>
          <w:spacing w:val="5"/>
          <w:sz w:val="20"/>
          <w:szCs w:val="20"/>
          <w:lang w:eastAsia="en-US"/>
        </w:rPr>
        <w:t xml:space="preserve">2 </w:t>
      </w:r>
      <w:bookmarkStart w:id="0" w:name="_GoBack"/>
      <w:bookmarkEnd w:id="0"/>
      <w:r w:rsidRPr="00C15A83">
        <w:rPr>
          <w:rFonts w:ascii="Arial" w:eastAsia="Calibri" w:hAnsi="Arial" w:cs="Arial"/>
          <w:color w:val="000000"/>
          <w:spacing w:val="5"/>
          <w:sz w:val="20"/>
          <w:szCs w:val="20"/>
          <w:lang w:eastAsia="en-US"/>
        </w:rPr>
        <w:t>et 4 de l’article 2, la Haute Cour est liée par la définition des crimes et délits ainsi que par la détermination des peines telles qu'elles résultent des lois en vigueur au moment où les faits ont été commis.</w:t>
      </w:r>
    </w:p>
    <w:p w14:paraId="31F3148B" w14:textId="77777777" w:rsidR="00C15A83" w:rsidRPr="00C15A83" w:rsidRDefault="00C15A83" w:rsidP="00C15A83">
      <w:pPr>
        <w:spacing w:before="100" w:beforeAutospacing="1" w:after="0"/>
        <w:ind w:left="283"/>
        <w:jc w:val="both"/>
        <w:rPr>
          <w:rFonts w:ascii="Arial" w:eastAsia="Calibri" w:hAnsi="Arial" w:cs="Arial"/>
          <w:sz w:val="20"/>
          <w:szCs w:val="20"/>
          <w:lang w:eastAsia="en-US"/>
        </w:rPr>
      </w:pPr>
      <w:r w:rsidRPr="00C15A83">
        <w:rPr>
          <w:rFonts w:ascii="Arial" w:eastAsia="Calibri" w:hAnsi="Arial" w:cs="Arial"/>
          <w:b/>
          <w:bCs/>
          <w:i/>
          <w:iCs/>
          <w:color w:val="000000"/>
          <w:spacing w:val="8"/>
          <w:sz w:val="20"/>
          <w:szCs w:val="20"/>
          <w:lang w:eastAsia="en-US"/>
        </w:rPr>
        <w:t xml:space="preserve">Art. 4 – </w:t>
      </w:r>
      <w:r w:rsidRPr="00C15A83">
        <w:rPr>
          <w:rFonts w:ascii="Arial" w:eastAsia="Calibri" w:hAnsi="Arial" w:cs="Arial"/>
          <w:color w:val="000000"/>
          <w:spacing w:val="8"/>
          <w:sz w:val="20"/>
          <w:szCs w:val="20"/>
          <w:lang w:eastAsia="en-US"/>
        </w:rPr>
        <w:t xml:space="preserve">La procédure définie par la présente loi est </w:t>
      </w:r>
      <w:r w:rsidRPr="00C15A83">
        <w:rPr>
          <w:rFonts w:ascii="Arial" w:eastAsia="Calibri" w:hAnsi="Arial" w:cs="Arial"/>
          <w:color w:val="000000"/>
          <w:spacing w:val="6"/>
          <w:sz w:val="20"/>
          <w:szCs w:val="20"/>
          <w:lang w:eastAsia="en-US"/>
        </w:rPr>
        <w:t>applicable aux coauteurs et complices du membre du Gouvernement traduit devant la Haute Cour.</w:t>
      </w:r>
    </w:p>
    <w:p w14:paraId="5567F7BB" w14:textId="77777777" w:rsidR="00C15A83" w:rsidRPr="00C15A83" w:rsidRDefault="00C15A83" w:rsidP="00C15A83">
      <w:pPr>
        <w:spacing w:before="100" w:beforeAutospacing="1" w:after="0"/>
        <w:ind w:left="283"/>
        <w:jc w:val="center"/>
        <w:rPr>
          <w:rFonts w:ascii="Arial" w:eastAsia="Calibri" w:hAnsi="Arial" w:cs="Arial"/>
          <w:sz w:val="20"/>
          <w:szCs w:val="20"/>
          <w:lang w:eastAsia="en-US"/>
        </w:rPr>
      </w:pPr>
      <w:r w:rsidRPr="00C15A83">
        <w:rPr>
          <w:rFonts w:ascii="Arial" w:eastAsia="Calibri" w:hAnsi="Arial" w:cs="Arial"/>
          <w:b/>
          <w:bCs/>
          <w:color w:val="000000"/>
          <w:spacing w:val="6"/>
          <w:sz w:val="20"/>
          <w:szCs w:val="20"/>
          <w:lang w:eastAsia="en-US"/>
        </w:rPr>
        <w:t xml:space="preserve">Chapitre II – </w:t>
      </w:r>
      <w:r w:rsidRPr="00C15A83">
        <w:rPr>
          <w:rFonts w:ascii="Arial" w:eastAsia="Calibri" w:hAnsi="Arial" w:cs="Arial"/>
          <w:b/>
          <w:bCs/>
          <w:i/>
          <w:color w:val="000000"/>
          <w:spacing w:val="6"/>
          <w:sz w:val="20"/>
          <w:szCs w:val="20"/>
          <w:lang w:eastAsia="en-US"/>
        </w:rPr>
        <w:t>Composition et fonctionnement</w:t>
      </w:r>
    </w:p>
    <w:p w14:paraId="1097959B"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9"/>
          <w:sz w:val="20"/>
          <w:szCs w:val="20"/>
          <w:lang w:eastAsia="en-US"/>
        </w:rPr>
        <w:t xml:space="preserve">Art. 5 – </w:t>
      </w:r>
      <w:r w:rsidRPr="00C15A83">
        <w:rPr>
          <w:rFonts w:ascii="Arial" w:eastAsia="Calibri" w:hAnsi="Arial" w:cs="Arial"/>
          <w:color w:val="000000"/>
          <w:spacing w:val="5"/>
          <w:sz w:val="20"/>
          <w:szCs w:val="20"/>
          <w:lang w:eastAsia="en-US"/>
        </w:rPr>
        <w:t>La Haute Cour se compose d'un Président et de quatre membres titulaires et de trois membres suppléants.</w:t>
      </w:r>
    </w:p>
    <w:p w14:paraId="22531887"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Le Président choisi parmi les hauts magistrats, est nommé par décret.</w:t>
      </w:r>
    </w:p>
    <w:p w14:paraId="68E0B5E0"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Les autres membres sont élus pour chaque législature à la majorité absolue et en son sein, par l'Assemblée Nationale.</w:t>
      </w:r>
    </w:p>
    <w:p w14:paraId="0FAE537B"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8"/>
          <w:sz w:val="20"/>
          <w:szCs w:val="20"/>
          <w:lang w:eastAsia="en-US"/>
        </w:rPr>
        <w:t xml:space="preserve">Art. 6 – </w:t>
      </w:r>
      <w:r w:rsidRPr="00C15A83">
        <w:rPr>
          <w:rFonts w:ascii="Arial" w:eastAsia="Calibri" w:hAnsi="Arial" w:cs="Arial"/>
          <w:color w:val="000000"/>
          <w:spacing w:val="5"/>
          <w:sz w:val="20"/>
          <w:szCs w:val="20"/>
          <w:lang w:eastAsia="en-US"/>
        </w:rPr>
        <w:t>Dès leur élection, les juges de la Haute Cour prêtent le serment suivant devant le Président de l'Assemblée Nationale :</w:t>
      </w:r>
    </w:p>
    <w:p w14:paraId="2DC547E3" w14:textId="77777777" w:rsidR="00C15A83" w:rsidRPr="00C15A83" w:rsidRDefault="00C15A83" w:rsidP="00C15A83">
      <w:pPr>
        <w:spacing w:before="100" w:beforeAutospacing="1" w:after="0"/>
        <w:ind w:left="283"/>
        <w:jc w:val="both"/>
        <w:rPr>
          <w:rFonts w:ascii="Arial" w:eastAsia="Calibri" w:hAnsi="Arial" w:cs="Arial"/>
          <w:b/>
          <w:bCs/>
          <w:i/>
          <w:iCs/>
          <w:color w:val="000000"/>
          <w:spacing w:val="11"/>
          <w:sz w:val="20"/>
          <w:szCs w:val="20"/>
          <w:lang w:eastAsia="en-US"/>
        </w:rPr>
      </w:pPr>
      <w:r w:rsidRPr="00C15A83">
        <w:rPr>
          <w:rFonts w:ascii="Arial" w:eastAsia="Calibri" w:hAnsi="Arial" w:cs="Arial"/>
          <w:b/>
          <w:bCs/>
          <w:i/>
          <w:iCs/>
          <w:color w:val="000000"/>
          <w:spacing w:val="6"/>
          <w:w w:val="90"/>
          <w:sz w:val="20"/>
          <w:szCs w:val="20"/>
          <w:lang w:eastAsia="en-US"/>
        </w:rPr>
        <w:lastRenderedPageBreak/>
        <w:t>« </w:t>
      </w:r>
      <w:r w:rsidRPr="00C15A83">
        <w:rPr>
          <w:rFonts w:ascii="Arial" w:eastAsia="Calibri" w:hAnsi="Arial" w:cs="Arial"/>
          <w:b/>
          <w:bCs/>
          <w:i/>
          <w:iCs/>
          <w:color w:val="000000"/>
          <w:spacing w:val="6"/>
          <w:sz w:val="20"/>
          <w:szCs w:val="20"/>
          <w:lang w:eastAsia="en-US"/>
        </w:rPr>
        <w:t xml:space="preserve">Je jure de bien remplir mes fonctions, de garder le secret </w:t>
      </w:r>
      <w:r w:rsidRPr="00C15A83">
        <w:rPr>
          <w:rFonts w:ascii="Arial" w:eastAsia="Calibri" w:hAnsi="Arial" w:cs="Arial"/>
          <w:b/>
          <w:bCs/>
          <w:i/>
          <w:iCs/>
          <w:color w:val="000000"/>
          <w:spacing w:val="4"/>
          <w:sz w:val="20"/>
          <w:szCs w:val="20"/>
          <w:lang w:eastAsia="en-US"/>
        </w:rPr>
        <w:t>des délibérations et des votes et de me conduire en tout comm</w:t>
      </w:r>
      <w:r w:rsidRPr="00C15A83">
        <w:rPr>
          <w:rFonts w:ascii="Arial" w:eastAsia="Calibri" w:hAnsi="Arial" w:cs="Arial"/>
          <w:b/>
          <w:bCs/>
          <w:i/>
          <w:iCs/>
          <w:color w:val="000000"/>
          <w:spacing w:val="11"/>
          <w:sz w:val="20"/>
          <w:szCs w:val="20"/>
          <w:lang w:eastAsia="en-US"/>
        </w:rPr>
        <w:t>e un digne et loyal magistrat ».</w:t>
      </w:r>
    </w:p>
    <w:p w14:paraId="04639DC5"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4"/>
          <w:sz w:val="20"/>
          <w:szCs w:val="20"/>
          <w:lang w:eastAsia="en-US"/>
        </w:rPr>
        <w:t xml:space="preserve">Art. 7 </w:t>
      </w:r>
      <w:r w:rsidRPr="00C15A83">
        <w:rPr>
          <w:rFonts w:ascii="Arial" w:eastAsia="Calibri" w:hAnsi="Arial" w:cs="Arial"/>
          <w:b/>
          <w:bCs/>
          <w:color w:val="000000"/>
          <w:spacing w:val="5"/>
          <w:sz w:val="20"/>
          <w:szCs w:val="20"/>
          <w:lang w:eastAsia="en-US"/>
        </w:rPr>
        <w:t>–</w:t>
      </w:r>
      <w:r w:rsidRPr="00C15A83">
        <w:rPr>
          <w:rFonts w:ascii="Arial" w:eastAsia="Calibri" w:hAnsi="Arial" w:cs="Arial"/>
          <w:color w:val="000000"/>
          <w:spacing w:val="5"/>
          <w:sz w:val="20"/>
          <w:szCs w:val="20"/>
          <w:lang w:eastAsia="en-US"/>
        </w:rPr>
        <w:t xml:space="preserve"> Les juges de la Haute Cour sont tenus d'assister aux audiences et aux délibérations. En cas d'absence non justifiée, ils sont déclarés démissionnaires par la Haute Cour. L'Assemblée est aussitôt avisée de leur démission et pourvoit à leur remplacement.</w:t>
      </w:r>
    </w:p>
    <w:p w14:paraId="7CA83AEC"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12"/>
          <w:sz w:val="20"/>
          <w:szCs w:val="20"/>
          <w:lang w:eastAsia="en-US"/>
        </w:rPr>
        <w:t xml:space="preserve">Art. 8 – </w:t>
      </w:r>
      <w:r w:rsidRPr="00C15A83">
        <w:rPr>
          <w:rFonts w:ascii="Arial" w:eastAsia="Calibri" w:hAnsi="Arial" w:cs="Arial"/>
          <w:color w:val="000000"/>
          <w:spacing w:val="5"/>
          <w:sz w:val="20"/>
          <w:szCs w:val="20"/>
          <w:lang w:eastAsia="en-US"/>
        </w:rPr>
        <w:t>Tout membre de la Haute Cour peut Etre récusé :</w:t>
      </w:r>
    </w:p>
    <w:p w14:paraId="5CE95DF4" w14:textId="77777777" w:rsidR="00C15A83" w:rsidRPr="00C15A83" w:rsidRDefault="00C15A83" w:rsidP="00C15A83">
      <w:pPr>
        <w:numPr>
          <w:ilvl w:val="0"/>
          <w:numId w:val="13"/>
        </w:numPr>
        <w:spacing w:before="100" w:beforeAutospacing="1" w:after="0"/>
        <w:ind w:left="1494"/>
        <w:contextualSpacing/>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s'il est parent ou allié d'un accusé,</w:t>
      </w:r>
    </w:p>
    <w:p w14:paraId="7FC63AF8" w14:textId="77777777" w:rsidR="00C15A83" w:rsidRPr="00C15A83" w:rsidRDefault="00C15A83" w:rsidP="00C15A83">
      <w:pPr>
        <w:numPr>
          <w:ilvl w:val="0"/>
          <w:numId w:val="13"/>
        </w:numPr>
        <w:spacing w:before="100" w:beforeAutospacing="1" w:after="0"/>
        <w:ind w:left="1494"/>
        <w:contextualSpacing/>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s'il a été cité ou entendu comme témoin.</w:t>
      </w:r>
    </w:p>
    <w:p w14:paraId="72D13A6C"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Il est statué dès l'ouverture des débats sur la récusation, si elle est soulevée.</w:t>
      </w:r>
    </w:p>
    <w:p w14:paraId="5FBB2483"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3"/>
          <w:sz w:val="20"/>
          <w:szCs w:val="20"/>
          <w:lang w:eastAsia="en-US"/>
        </w:rPr>
        <w:t xml:space="preserve">Art. 9 – </w:t>
      </w:r>
      <w:r w:rsidRPr="00C15A83">
        <w:rPr>
          <w:rFonts w:ascii="Arial" w:eastAsia="Calibri" w:hAnsi="Arial" w:cs="Arial"/>
          <w:color w:val="000000"/>
          <w:spacing w:val="3"/>
          <w:sz w:val="20"/>
          <w:szCs w:val="20"/>
          <w:lang w:eastAsia="en-US"/>
        </w:rPr>
        <w:t xml:space="preserve">Tout juge titulaire, absent ou empêché de siéger, </w:t>
      </w:r>
      <w:r w:rsidRPr="00C15A83">
        <w:rPr>
          <w:rFonts w:ascii="Arial" w:eastAsia="Calibri" w:hAnsi="Arial" w:cs="Arial"/>
          <w:color w:val="000000"/>
          <w:spacing w:val="8"/>
          <w:sz w:val="20"/>
          <w:szCs w:val="20"/>
          <w:lang w:eastAsia="en-US"/>
        </w:rPr>
        <w:t>est remplacé par un suppléant tiré au sort.</w:t>
      </w:r>
    </w:p>
    <w:p w14:paraId="2974A95B"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11"/>
          <w:sz w:val="20"/>
          <w:szCs w:val="20"/>
          <w:lang w:eastAsia="en-US"/>
        </w:rPr>
        <w:t xml:space="preserve">Art. 10 – </w:t>
      </w:r>
      <w:r w:rsidRPr="00C15A83">
        <w:rPr>
          <w:rFonts w:ascii="Arial" w:eastAsia="Calibri" w:hAnsi="Arial" w:cs="Arial"/>
          <w:color w:val="000000"/>
          <w:spacing w:val="11"/>
          <w:sz w:val="20"/>
          <w:szCs w:val="20"/>
          <w:lang w:eastAsia="en-US"/>
        </w:rPr>
        <w:t xml:space="preserve">L'instruction est assurée par un magistrat </w:t>
      </w:r>
      <w:r w:rsidRPr="00C15A83">
        <w:rPr>
          <w:rFonts w:ascii="Arial" w:eastAsia="Calibri" w:hAnsi="Arial" w:cs="Arial"/>
          <w:color w:val="000000"/>
          <w:spacing w:val="6"/>
          <w:sz w:val="20"/>
          <w:szCs w:val="20"/>
          <w:lang w:eastAsia="en-US"/>
        </w:rPr>
        <w:t>désigné par décret.</w:t>
      </w:r>
    </w:p>
    <w:p w14:paraId="7B91D3E2"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9"/>
          <w:sz w:val="20"/>
          <w:szCs w:val="20"/>
          <w:lang w:eastAsia="en-US"/>
        </w:rPr>
        <w:t xml:space="preserve">Art. 11 – </w:t>
      </w:r>
      <w:r w:rsidRPr="00C15A83">
        <w:rPr>
          <w:rFonts w:ascii="Arial" w:eastAsia="Calibri" w:hAnsi="Arial" w:cs="Arial"/>
          <w:color w:val="000000"/>
          <w:spacing w:val="9"/>
          <w:sz w:val="20"/>
          <w:szCs w:val="20"/>
          <w:lang w:eastAsia="en-US"/>
        </w:rPr>
        <w:t xml:space="preserve">Le Ministère public prés la Haute Cour est </w:t>
      </w:r>
      <w:r w:rsidRPr="00C15A83">
        <w:rPr>
          <w:rFonts w:ascii="Arial" w:eastAsia="Calibri" w:hAnsi="Arial" w:cs="Arial"/>
          <w:color w:val="000000"/>
          <w:spacing w:val="6"/>
          <w:sz w:val="20"/>
          <w:szCs w:val="20"/>
          <w:lang w:eastAsia="en-US"/>
        </w:rPr>
        <w:t>exercé par un magistrat du Parquet désigné par décret.</w:t>
      </w:r>
    </w:p>
    <w:p w14:paraId="247A7E6A"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9"/>
          <w:sz w:val="20"/>
          <w:szCs w:val="20"/>
          <w:lang w:eastAsia="en-US"/>
        </w:rPr>
        <w:t xml:space="preserve">Art. 12 – </w:t>
      </w:r>
      <w:r w:rsidRPr="00C15A83">
        <w:rPr>
          <w:rFonts w:ascii="Arial" w:eastAsia="Calibri" w:hAnsi="Arial" w:cs="Arial"/>
          <w:color w:val="000000"/>
          <w:spacing w:val="9"/>
          <w:sz w:val="20"/>
          <w:szCs w:val="20"/>
          <w:lang w:eastAsia="en-US"/>
        </w:rPr>
        <w:t xml:space="preserve">Les fonctions de greffier de la Haute Cour </w:t>
      </w:r>
      <w:r w:rsidRPr="00C15A83">
        <w:rPr>
          <w:rFonts w:ascii="Arial" w:eastAsia="Calibri" w:hAnsi="Arial" w:cs="Arial"/>
          <w:color w:val="000000"/>
          <w:spacing w:val="7"/>
          <w:sz w:val="20"/>
          <w:szCs w:val="20"/>
          <w:lang w:eastAsia="en-US"/>
        </w:rPr>
        <w:t xml:space="preserve">sont remplies par le greffier en chef de la Cour d'Appel de </w:t>
      </w:r>
      <w:r w:rsidRPr="00C15A83">
        <w:rPr>
          <w:rFonts w:ascii="Arial" w:eastAsia="Calibri" w:hAnsi="Arial" w:cs="Arial"/>
          <w:color w:val="000000"/>
          <w:sz w:val="20"/>
          <w:szCs w:val="20"/>
          <w:lang w:eastAsia="en-US"/>
        </w:rPr>
        <w:t>Tunis.</w:t>
      </w:r>
    </w:p>
    <w:p w14:paraId="0A505EFC" w14:textId="77777777" w:rsidR="00C15A83" w:rsidRPr="00C15A83" w:rsidRDefault="00C15A83" w:rsidP="00C15A83">
      <w:pPr>
        <w:spacing w:before="100" w:beforeAutospacing="1" w:after="0"/>
        <w:ind w:left="283"/>
        <w:jc w:val="center"/>
        <w:rPr>
          <w:rFonts w:ascii="Arial" w:eastAsia="Calibri" w:hAnsi="Arial" w:cs="Arial"/>
          <w:color w:val="000000"/>
          <w:spacing w:val="5"/>
          <w:sz w:val="20"/>
          <w:szCs w:val="20"/>
          <w:lang w:eastAsia="en-US"/>
        </w:rPr>
      </w:pPr>
      <w:r w:rsidRPr="00C15A83">
        <w:rPr>
          <w:rFonts w:ascii="Arial" w:eastAsia="Calibri" w:hAnsi="Arial" w:cs="Arial"/>
          <w:b/>
          <w:bCs/>
          <w:color w:val="000000"/>
          <w:spacing w:val="6"/>
          <w:sz w:val="20"/>
          <w:szCs w:val="20"/>
          <w:lang w:eastAsia="en-US"/>
        </w:rPr>
        <w:t xml:space="preserve">Chapitre III – </w:t>
      </w:r>
      <w:r w:rsidRPr="00C15A83">
        <w:rPr>
          <w:rFonts w:ascii="Arial" w:eastAsia="Calibri" w:hAnsi="Arial" w:cs="Arial"/>
          <w:b/>
          <w:bCs/>
          <w:i/>
          <w:color w:val="000000"/>
          <w:spacing w:val="6"/>
          <w:sz w:val="20"/>
          <w:szCs w:val="20"/>
          <w:lang w:eastAsia="en-US"/>
        </w:rPr>
        <w:t>Procédures</w:t>
      </w:r>
    </w:p>
    <w:p w14:paraId="48589F0C"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9"/>
          <w:sz w:val="20"/>
          <w:szCs w:val="20"/>
          <w:lang w:eastAsia="en-US"/>
        </w:rPr>
        <w:t xml:space="preserve">Art. 13 – </w:t>
      </w:r>
      <w:r w:rsidRPr="00C15A83">
        <w:rPr>
          <w:rFonts w:ascii="Arial" w:eastAsia="Calibri" w:hAnsi="Arial" w:cs="Arial"/>
          <w:color w:val="000000"/>
          <w:spacing w:val="5"/>
          <w:sz w:val="20"/>
          <w:szCs w:val="20"/>
          <w:lang w:eastAsia="en-US"/>
        </w:rPr>
        <w:t>La Haute Cour est saisie par le Président de la République, l'Assemblée Nationale préalablement consultée.</w:t>
      </w:r>
    </w:p>
    <w:p w14:paraId="0ADA5D5D"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2"/>
          <w:sz w:val="20"/>
          <w:szCs w:val="20"/>
          <w:lang w:eastAsia="en-US"/>
        </w:rPr>
        <w:t xml:space="preserve">Art. 14 – </w:t>
      </w:r>
      <w:r w:rsidRPr="00C15A83">
        <w:rPr>
          <w:rFonts w:ascii="Arial" w:eastAsia="Calibri" w:hAnsi="Arial" w:cs="Arial"/>
          <w:color w:val="000000"/>
          <w:spacing w:val="5"/>
          <w:sz w:val="20"/>
          <w:szCs w:val="20"/>
          <w:lang w:eastAsia="en-US"/>
        </w:rPr>
        <w:t>La décision du Président de la République est communiquée sans délai au Procureur près la Haute Cour.</w:t>
      </w:r>
    </w:p>
    <w:p w14:paraId="763C6FA1"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6"/>
          <w:sz w:val="20"/>
          <w:szCs w:val="20"/>
          <w:lang w:eastAsia="en-US"/>
        </w:rPr>
        <w:t xml:space="preserve">Art. 15 – </w:t>
      </w:r>
      <w:r w:rsidRPr="00C15A83">
        <w:rPr>
          <w:rFonts w:ascii="Arial" w:eastAsia="Calibri" w:hAnsi="Arial" w:cs="Arial"/>
          <w:color w:val="000000"/>
          <w:spacing w:val="5"/>
          <w:sz w:val="20"/>
          <w:szCs w:val="20"/>
          <w:lang w:eastAsia="en-US"/>
        </w:rPr>
        <w:t>Dans les vingt-quatre heures de la saisine le Procureur près la Haute Cour notifie la mise en accusation au Président de la Haute Cour et au magistrat charge de l'instruction.</w:t>
      </w:r>
    </w:p>
    <w:p w14:paraId="07937232"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7"/>
          <w:sz w:val="20"/>
          <w:szCs w:val="20"/>
          <w:lang w:eastAsia="en-US"/>
        </w:rPr>
        <w:t xml:space="preserve">Art. 16 – </w:t>
      </w:r>
      <w:r w:rsidRPr="00C15A83">
        <w:rPr>
          <w:rFonts w:ascii="Arial" w:eastAsia="Calibri" w:hAnsi="Arial" w:cs="Arial"/>
          <w:color w:val="000000"/>
          <w:spacing w:val="5"/>
          <w:sz w:val="20"/>
          <w:szCs w:val="20"/>
          <w:lang w:eastAsia="en-US"/>
        </w:rPr>
        <w:t xml:space="preserve">Le magistrat instructeur procède a. tous les actes qu'il juge utile </w:t>
      </w:r>
      <w:proofErr w:type="spellStart"/>
      <w:r w:rsidRPr="00C15A83">
        <w:rPr>
          <w:rFonts w:ascii="Arial" w:eastAsia="Calibri" w:hAnsi="Arial" w:cs="Arial"/>
          <w:color w:val="000000"/>
          <w:spacing w:val="5"/>
          <w:sz w:val="20"/>
          <w:szCs w:val="20"/>
          <w:lang w:eastAsia="en-US"/>
        </w:rPr>
        <w:t>a</w:t>
      </w:r>
      <w:proofErr w:type="spellEnd"/>
      <w:r w:rsidRPr="00C15A83">
        <w:rPr>
          <w:rFonts w:ascii="Arial" w:eastAsia="Calibri" w:hAnsi="Arial" w:cs="Arial"/>
          <w:color w:val="000000"/>
          <w:spacing w:val="5"/>
          <w:sz w:val="20"/>
          <w:szCs w:val="20"/>
          <w:lang w:eastAsia="en-US"/>
        </w:rPr>
        <w:t xml:space="preserve"> la manifestation de la vérité selon les règles du Code de Procédures Pénales. Il peut décerner mandat contre les accuses.</w:t>
      </w:r>
    </w:p>
    <w:p w14:paraId="3E90A1A2"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Les actes du juge d'instruction ne sont susceptibles d'aucun recours.</w:t>
      </w:r>
    </w:p>
    <w:p w14:paraId="4D95A9E7"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Le juge d'instruction statue sur les incidents de procédure. Toute nullité non invoquée avant la décision de renvoi est couverte.</w:t>
      </w:r>
    </w:p>
    <w:p w14:paraId="01A3EBE6"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8"/>
          <w:sz w:val="20"/>
          <w:szCs w:val="20"/>
          <w:lang w:eastAsia="en-US"/>
        </w:rPr>
        <w:t xml:space="preserve">Art. 17 – </w:t>
      </w:r>
      <w:r w:rsidRPr="00C15A83">
        <w:rPr>
          <w:rFonts w:ascii="Arial" w:eastAsia="Calibri" w:hAnsi="Arial" w:cs="Arial"/>
          <w:color w:val="000000"/>
          <w:spacing w:val="5"/>
          <w:sz w:val="20"/>
          <w:szCs w:val="20"/>
          <w:lang w:eastAsia="en-US"/>
        </w:rPr>
        <w:t>Lorsque la procédure lui parait complète, le juge d'instruction ordonne, s'il y a lieu, le renvoi devant la Haute Cour.</w:t>
      </w:r>
    </w:p>
    <w:p w14:paraId="089D7607"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3"/>
          <w:sz w:val="20"/>
          <w:szCs w:val="20"/>
          <w:lang w:eastAsia="en-US"/>
        </w:rPr>
        <w:t xml:space="preserve">Art. 18 – </w:t>
      </w:r>
      <w:r w:rsidRPr="00C15A83">
        <w:rPr>
          <w:rFonts w:ascii="Arial" w:eastAsia="Calibri" w:hAnsi="Arial" w:cs="Arial"/>
          <w:color w:val="000000"/>
          <w:spacing w:val="5"/>
          <w:sz w:val="20"/>
          <w:szCs w:val="20"/>
          <w:lang w:eastAsia="en-US"/>
        </w:rPr>
        <w:t>Les accuses reçoivent une semaine avant leur comparution devant la Haute Cour, signification de l'ordonnance de renvoi.</w:t>
      </w:r>
    </w:p>
    <w:p w14:paraId="1BC5A91D"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7"/>
          <w:sz w:val="20"/>
          <w:szCs w:val="20"/>
          <w:lang w:eastAsia="en-US"/>
        </w:rPr>
        <w:lastRenderedPageBreak/>
        <w:t xml:space="preserve">Art. 19 – </w:t>
      </w:r>
      <w:r w:rsidRPr="00C15A83">
        <w:rPr>
          <w:rFonts w:ascii="Arial" w:eastAsia="Calibri" w:hAnsi="Arial" w:cs="Arial"/>
          <w:color w:val="000000"/>
          <w:spacing w:val="5"/>
          <w:sz w:val="20"/>
          <w:szCs w:val="20"/>
          <w:lang w:eastAsia="en-US"/>
        </w:rPr>
        <w:t>Les débats se déroulent conformément aux, règles fixées par le Code de Procédures Pénales.</w:t>
      </w:r>
    </w:p>
    <w:p w14:paraId="08F56FDA"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color w:val="000000"/>
          <w:spacing w:val="7"/>
          <w:sz w:val="20"/>
          <w:szCs w:val="20"/>
          <w:lang w:eastAsia="en-US"/>
        </w:rPr>
        <w:t xml:space="preserve">Art. 20 – </w:t>
      </w:r>
      <w:r w:rsidRPr="00C15A83">
        <w:rPr>
          <w:rFonts w:ascii="Arial" w:eastAsia="Calibri" w:hAnsi="Arial" w:cs="Arial"/>
          <w:color w:val="000000"/>
          <w:spacing w:val="5"/>
          <w:sz w:val="20"/>
          <w:szCs w:val="20"/>
          <w:lang w:eastAsia="en-US"/>
        </w:rPr>
        <w:t>Tout incident élevé au cours des débats peut, sauf décision du Président, Etre joint au fond, sous réserve des dispositions de l'article 8.</w:t>
      </w:r>
    </w:p>
    <w:p w14:paraId="4AD0C3C4" w14:textId="33951096"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7"/>
          <w:sz w:val="20"/>
          <w:szCs w:val="20"/>
          <w:lang w:eastAsia="en-US"/>
        </w:rPr>
        <w:t xml:space="preserve">Art. 21 – </w:t>
      </w:r>
      <w:r w:rsidRPr="00C15A83">
        <w:rPr>
          <w:rFonts w:ascii="Arial" w:eastAsia="Calibri" w:hAnsi="Arial" w:cs="Arial"/>
          <w:color w:val="000000"/>
          <w:spacing w:val="5"/>
          <w:sz w:val="20"/>
          <w:szCs w:val="20"/>
          <w:lang w:eastAsia="en-US"/>
        </w:rPr>
        <w:t xml:space="preserve">La Haute Cour, après clôture des &amp;bats, statue sur la culpabilité des </w:t>
      </w:r>
      <w:r w:rsidRPr="00C15A83">
        <w:rPr>
          <w:rFonts w:ascii="Arial" w:eastAsia="Calibri" w:hAnsi="Arial" w:cs="Arial"/>
          <w:color w:val="000000"/>
          <w:spacing w:val="5"/>
          <w:sz w:val="20"/>
          <w:szCs w:val="20"/>
          <w:lang w:eastAsia="en-US"/>
        </w:rPr>
        <w:t>accusés</w:t>
      </w:r>
      <w:r w:rsidRPr="00C15A83">
        <w:rPr>
          <w:rFonts w:ascii="Arial" w:eastAsia="Calibri" w:hAnsi="Arial" w:cs="Arial"/>
          <w:color w:val="000000"/>
          <w:spacing w:val="5"/>
          <w:sz w:val="20"/>
          <w:szCs w:val="20"/>
          <w:lang w:eastAsia="en-US"/>
        </w:rPr>
        <w:t>. Il est vote séparément pour chaque accuse sur chaque chef d'accusation et sur la question de savoir s'il y a des circonstances atténuantes. Le vote a lieu à la majorité absolue.</w:t>
      </w:r>
    </w:p>
    <w:p w14:paraId="45F315ED"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Si l'accuse est déclaré coupable, il est vote aussitôt sur l'application de la peine.</w:t>
      </w:r>
    </w:p>
    <w:p w14:paraId="199CED8E" w14:textId="77777777" w:rsidR="00C15A83" w:rsidRPr="00C15A83" w:rsidRDefault="00C15A83" w:rsidP="00C15A83">
      <w:pPr>
        <w:spacing w:before="100" w:beforeAutospacing="1" w:after="0"/>
        <w:ind w:left="283"/>
        <w:jc w:val="both"/>
        <w:rPr>
          <w:rFonts w:ascii="Arial" w:eastAsia="Calibri" w:hAnsi="Arial" w:cs="Arial"/>
          <w:color w:val="000000"/>
          <w:spacing w:val="-2"/>
          <w:sz w:val="20"/>
          <w:szCs w:val="20"/>
          <w:lang w:eastAsia="en-US"/>
        </w:rPr>
      </w:pPr>
      <w:r w:rsidRPr="00C15A83">
        <w:rPr>
          <w:rFonts w:ascii="Arial" w:eastAsia="Calibri" w:hAnsi="Arial" w:cs="Arial"/>
          <w:b/>
          <w:bCs/>
          <w:i/>
          <w:iCs/>
          <w:color w:val="000000"/>
          <w:spacing w:val="-1"/>
          <w:sz w:val="20"/>
          <w:szCs w:val="20"/>
          <w:lang w:eastAsia="en-US"/>
        </w:rPr>
        <w:t xml:space="preserve">Art. 22 – </w:t>
      </w:r>
      <w:r w:rsidRPr="00C15A83">
        <w:rPr>
          <w:rFonts w:ascii="Arial" w:eastAsia="Calibri" w:hAnsi="Arial" w:cs="Arial"/>
          <w:color w:val="000000"/>
          <w:spacing w:val="5"/>
          <w:sz w:val="20"/>
          <w:szCs w:val="20"/>
          <w:lang w:eastAsia="en-US"/>
        </w:rPr>
        <w:t>Les arrêts de la Haute Cour ne sont susceptibles ni d'appel ni de pourvoi en cassation.</w:t>
      </w:r>
    </w:p>
    <w:p w14:paraId="34522CDD"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i/>
          <w:iCs/>
          <w:color w:val="000000"/>
          <w:spacing w:val="-2"/>
          <w:sz w:val="20"/>
          <w:szCs w:val="20"/>
          <w:lang w:eastAsia="en-US"/>
        </w:rPr>
        <w:t xml:space="preserve">Art. 23 – </w:t>
      </w:r>
      <w:r w:rsidRPr="00C15A83">
        <w:rPr>
          <w:rFonts w:ascii="Arial" w:eastAsia="Calibri" w:hAnsi="Arial" w:cs="Arial"/>
          <w:color w:val="000000"/>
          <w:spacing w:val="5"/>
          <w:sz w:val="20"/>
          <w:szCs w:val="20"/>
          <w:lang w:eastAsia="en-US"/>
        </w:rPr>
        <w:t xml:space="preserve">La Haute Cour sera de </w:t>
      </w:r>
      <w:proofErr w:type="gramStart"/>
      <w:r w:rsidRPr="00C15A83">
        <w:rPr>
          <w:rFonts w:ascii="Arial" w:eastAsia="Calibri" w:hAnsi="Arial" w:cs="Arial"/>
          <w:color w:val="000000"/>
          <w:spacing w:val="5"/>
          <w:sz w:val="20"/>
          <w:szCs w:val="20"/>
          <w:lang w:eastAsia="en-US"/>
        </w:rPr>
        <w:t>plein droit compétente</w:t>
      </w:r>
      <w:proofErr w:type="gramEnd"/>
      <w:r w:rsidRPr="00C15A83">
        <w:rPr>
          <w:rFonts w:ascii="Arial" w:eastAsia="Calibri" w:hAnsi="Arial" w:cs="Arial"/>
          <w:color w:val="000000"/>
          <w:spacing w:val="5"/>
          <w:sz w:val="20"/>
          <w:szCs w:val="20"/>
          <w:lang w:eastAsia="en-US"/>
        </w:rPr>
        <w:t xml:space="preserve"> pour connaitre de toutes procédures déférées aux tribunaux de droit commun ou à regard desquelles ces juridictions pouvaient avoir éventuellement compétence. Les actes, formalités et décisions intervenus antérieurement sont et demeurent valables et n'ont pas à être renouvelés.</w:t>
      </w:r>
    </w:p>
    <w:p w14:paraId="4F8FF0AD" w14:textId="77777777" w:rsidR="00C15A83"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color w:val="000000"/>
          <w:spacing w:val="5"/>
          <w:sz w:val="20"/>
          <w:szCs w:val="20"/>
          <w:lang w:eastAsia="en-US"/>
        </w:rPr>
        <w:t>La présente loi sera publiée au Journal Officiel de la République Tunisienne et exécutée comme loi de l'Etat.</w:t>
      </w:r>
    </w:p>
    <w:p w14:paraId="5DECB787" w14:textId="084FD308" w:rsidR="00E953A2" w:rsidRPr="00C15A83" w:rsidRDefault="00C15A83" w:rsidP="00C15A83">
      <w:pPr>
        <w:spacing w:before="100" w:beforeAutospacing="1" w:after="0"/>
        <w:ind w:left="283"/>
        <w:jc w:val="both"/>
        <w:rPr>
          <w:rFonts w:ascii="Arial" w:eastAsia="Calibri" w:hAnsi="Arial" w:cs="Arial"/>
          <w:color w:val="000000"/>
          <w:spacing w:val="5"/>
          <w:sz w:val="20"/>
          <w:szCs w:val="20"/>
          <w:lang w:eastAsia="en-US"/>
        </w:rPr>
      </w:pPr>
      <w:r w:rsidRPr="00C15A83">
        <w:rPr>
          <w:rFonts w:ascii="Arial" w:eastAsia="Calibri" w:hAnsi="Arial" w:cs="Arial"/>
          <w:b/>
          <w:bCs/>
          <w:color w:val="000000"/>
          <w:spacing w:val="-4"/>
          <w:sz w:val="20"/>
          <w:szCs w:val="20"/>
          <w:lang w:eastAsia="en-US"/>
        </w:rPr>
        <w:t>Fait à Tunis, le 1</w:t>
      </w:r>
      <w:r w:rsidRPr="00C15A83">
        <w:rPr>
          <w:rFonts w:ascii="Arial" w:eastAsia="Calibri" w:hAnsi="Arial" w:cs="Arial"/>
          <w:b/>
          <w:bCs/>
          <w:color w:val="000000"/>
          <w:spacing w:val="-4"/>
          <w:sz w:val="20"/>
          <w:szCs w:val="20"/>
          <w:vertAlign w:val="superscript"/>
          <w:lang w:eastAsia="en-US"/>
        </w:rPr>
        <w:t>er</w:t>
      </w:r>
      <w:r w:rsidRPr="00C15A83">
        <w:rPr>
          <w:rFonts w:ascii="Arial" w:eastAsia="Calibri" w:hAnsi="Arial" w:cs="Arial"/>
          <w:b/>
          <w:bCs/>
          <w:color w:val="000000"/>
          <w:spacing w:val="-4"/>
          <w:sz w:val="20"/>
          <w:szCs w:val="20"/>
          <w:lang w:eastAsia="en-US"/>
        </w:rPr>
        <w:t xml:space="preserve">  Avril 1970.</w:t>
      </w:r>
    </w:p>
    <w:p w14:paraId="5D49938D" w14:textId="77777777" w:rsidR="00E953A2" w:rsidRDefault="00E953A2" w:rsidP="00E953A2">
      <w:pPr>
        <w:tabs>
          <w:tab w:val="left" w:pos="1136"/>
        </w:tabs>
      </w:pPr>
    </w:p>
    <w:p w14:paraId="6AAE7C6F" w14:textId="77777777" w:rsidR="00E953A2" w:rsidRDefault="00E953A2" w:rsidP="00E953A2">
      <w:pPr>
        <w:tabs>
          <w:tab w:val="left" w:pos="1136"/>
        </w:tabs>
      </w:pPr>
    </w:p>
    <w:p w14:paraId="42E8A3F6" w14:textId="77777777" w:rsidR="00E953A2" w:rsidRDefault="00E953A2" w:rsidP="00E953A2">
      <w:pPr>
        <w:tabs>
          <w:tab w:val="left" w:pos="1136"/>
        </w:tabs>
      </w:pP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15A8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15A83">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15A8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15A83">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15A8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15A83">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15A8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15A83">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1622F8"/>
    <w:multiLevelType w:val="hybridMultilevel"/>
    <w:tmpl w:val="42A0567A"/>
    <w:lvl w:ilvl="0" w:tplc="8B4A1B8C">
      <w:start w:val="1"/>
      <w:numFmt w:val="decimal"/>
      <w:lvlText w:val="%1-"/>
      <w:lvlJc w:val="left"/>
      <w:pPr>
        <w:ind w:left="576" w:hanging="360"/>
      </w:pPr>
      <w:rPr>
        <w:rFonts w:hint="default"/>
        <w:color w:val="000000"/>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4">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FDD3165"/>
    <w:multiLevelType w:val="hybridMultilevel"/>
    <w:tmpl w:val="D2AA77BC"/>
    <w:lvl w:ilvl="0" w:tplc="0CF8FD88">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1"/>
  </w:num>
  <w:num w:numId="4">
    <w:abstractNumId w:val="6"/>
  </w:num>
  <w:num w:numId="5">
    <w:abstractNumId w:val="9"/>
  </w:num>
  <w:num w:numId="6">
    <w:abstractNumId w:val="12"/>
  </w:num>
  <w:num w:numId="7">
    <w:abstractNumId w:val="8"/>
  </w:num>
  <w:num w:numId="8">
    <w:abstractNumId w:val="1"/>
  </w:num>
  <w:num w:numId="9">
    <w:abstractNumId w:val="7"/>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5F7BF4"/>
    <w:rsid w:val="00684129"/>
    <w:rsid w:val="007244D3"/>
    <w:rsid w:val="0075404E"/>
    <w:rsid w:val="0089552E"/>
    <w:rsid w:val="008F3F2D"/>
    <w:rsid w:val="00957F0E"/>
    <w:rsid w:val="0097472C"/>
    <w:rsid w:val="00A00644"/>
    <w:rsid w:val="00A04F09"/>
    <w:rsid w:val="00A24F23"/>
    <w:rsid w:val="00A90F21"/>
    <w:rsid w:val="00AD2268"/>
    <w:rsid w:val="00B05438"/>
    <w:rsid w:val="00B617F1"/>
    <w:rsid w:val="00C15A83"/>
    <w:rsid w:val="00C1635D"/>
    <w:rsid w:val="00C64B86"/>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2012-07-09T16:53:00Z</dcterms:created>
  <dcterms:modified xsi:type="dcterms:W3CDTF">2012-07-09T16:53:00Z</dcterms:modified>
</cp:coreProperties>
</file>