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EAB6" w14:textId="04281C74" w:rsidR="00972BFA" w:rsidRPr="00972BFA" w:rsidRDefault="00972BFA" w:rsidP="00972BFA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972BFA">
        <w:rPr>
          <w:rFonts w:ascii="Arial" w:hAnsi="Arial" w:cs="Arial"/>
          <w:b/>
          <w:bCs/>
          <w:sz w:val="24"/>
          <w:szCs w:val="24"/>
        </w:rPr>
        <w:t>Loi n° 2021-13 du 7 avril 2021, relative à l’édiction de dispositions exceptionnelles concernant la</w:t>
      </w:r>
      <w:r w:rsidRPr="00972B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2BFA">
        <w:rPr>
          <w:rFonts w:ascii="Arial" w:hAnsi="Arial" w:cs="Arial"/>
          <w:b/>
          <w:bCs/>
          <w:sz w:val="24"/>
          <w:szCs w:val="24"/>
        </w:rPr>
        <w:t>suspension des délais devant les tribunaux au cours de la période qui s’étend du 23 novembre</w:t>
      </w:r>
      <w:r w:rsidRPr="00972B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2BFA">
        <w:rPr>
          <w:rFonts w:ascii="Arial" w:hAnsi="Arial" w:cs="Arial"/>
          <w:b/>
          <w:bCs/>
          <w:sz w:val="24"/>
          <w:szCs w:val="24"/>
        </w:rPr>
        <w:t>2020 au 31 janvier 202</w:t>
      </w:r>
      <w:r w:rsidRPr="00972BFA">
        <w:rPr>
          <w:rFonts w:ascii="Arial" w:hAnsi="Arial" w:cs="Arial"/>
          <w:b/>
          <w:bCs/>
          <w:sz w:val="24"/>
          <w:szCs w:val="24"/>
        </w:rPr>
        <w:t>1</w:t>
      </w:r>
    </w:p>
    <w:p w14:paraId="094514EC" w14:textId="77777777" w:rsidR="00972BFA" w:rsidRPr="00972BFA" w:rsidRDefault="00972BFA" w:rsidP="00972BFA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72BFA">
        <w:rPr>
          <w:rFonts w:ascii="Arial" w:hAnsi="Arial" w:cs="Arial"/>
          <w:sz w:val="20"/>
          <w:szCs w:val="20"/>
        </w:rPr>
        <w:t>.</w:t>
      </w:r>
    </w:p>
    <w:p w14:paraId="3A405C2E" w14:textId="77777777" w:rsidR="00972BFA" w:rsidRPr="00972BFA" w:rsidRDefault="00972BFA" w:rsidP="00972BFA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72BFA">
        <w:rPr>
          <w:rFonts w:ascii="Arial" w:hAnsi="Arial" w:cs="Arial"/>
          <w:sz w:val="20"/>
          <w:szCs w:val="20"/>
        </w:rPr>
        <w:t>Au nom du peuple,</w:t>
      </w:r>
    </w:p>
    <w:p w14:paraId="521D1E43" w14:textId="77777777" w:rsidR="00972BFA" w:rsidRPr="00972BFA" w:rsidRDefault="00972BFA" w:rsidP="00972BFA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72BFA">
        <w:rPr>
          <w:rFonts w:ascii="Arial" w:hAnsi="Arial" w:cs="Arial"/>
          <w:sz w:val="20"/>
          <w:szCs w:val="20"/>
        </w:rPr>
        <w:t>L’Assemblée des représentants du peuple ayant adopté,</w:t>
      </w:r>
    </w:p>
    <w:p w14:paraId="421ECA1B" w14:textId="77777777" w:rsidR="00972BFA" w:rsidRPr="00972BFA" w:rsidRDefault="00972BFA" w:rsidP="00972BFA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72BFA">
        <w:rPr>
          <w:rFonts w:ascii="Arial" w:hAnsi="Arial" w:cs="Arial"/>
          <w:sz w:val="20"/>
          <w:szCs w:val="20"/>
        </w:rPr>
        <w:t>Le Président de la République promulgue la loi dont la teneur suit :</w:t>
      </w:r>
    </w:p>
    <w:p w14:paraId="0134A6D7" w14:textId="411D62CC" w:rsidR="00972BFA" w:rsidRPr="00972BFA" w:rsidRDefault="00972BFA" w:rsidP="00972BFA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72BFA">
        <w:rPr>
          <w:rFonts w:ascii="Arial" w:hAnsi="Arial" w:cs="Arial"/>
          <w:b/>
          <w:bCs/>
          <w:i/>
          <w:iCs/>
          <w:sz w:val="20"/>
          <w:szCs w:val="20"/>
        </w:rPr>
        <w:t>Article premier</w:t>
      </w:r>
      <w:r w:rsidRPr="00972BFA">
        <w:rPr>
          <w:rFonts w:ascii="Arial" w:hAnsi="Arial" w:cs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972BFA">
        <w:rPr>
          <w:rFonts w:ascii="Arial" w:hAnsi="Arial" w:cs="Arial"/>
          <w:sz w:val="20"/>
          <w:szCs w:val="20"/>
        </w:rPr>
        <w:t>Sous réserve des dispositions du code des obligations et des contrats, notamment son article</w:t>
      </w:r>
      <w:r>
        <w:rPr>
          <w:rFonts w:ascii="Arial" w:hAnsi="Arial" w:cs="Arial"/>
          <w:sz w:val="20"/>
          <w:szCs w:val="20"/>
        </w:rPr>
        <w:t xml:space="preserve"> </w:t>
      </w:r>
      <w:r w:rsidRPr="00972BFA">
        <w:rPr>
          <w:rFonts w:ascii="Arial" w:hAnsi="Arial" w:cs="Arial"/>
          <w:sz w:val="20"/>
          <w:szCs w:val="20"/>
        </w:rPr>
        <w:t>393, sont suspendus les procédures et délais prévus par les textes juridiques en vigueur, notamment ceux relatifs à</w:t>
      </w:r>
      <w:r>
        <w:rPr>
          <w:rFonts w:ascii="Arial" w:hAnsi="Arial" w:cs="Arial"/>
          <w:sz w:val="20"/>
          <w:szCs w:val="20"/>
        </w:rPr>
        <w:t xml:space="preserve"> </w:t>
      </w:r>
      <w:r w:rsidRPr="00972BFA">
        <w:rPr>
          <w:rFonts w:ascii="Arial" w:hAnsi="Arial" w:cs="Arial"/>
          <w:sz w:val="20"/>
          <w:szCs w:val="20"/>
        </w:rPr>
        <w:t>la saisine des tribunaux, l’enregistrement des requêtes introductives d’instance, leur inscription, ainsi que</w:t>
      </w:r>
      <w:r>
        <w:rPr>
          <w:rFonts w:ascii="Arial" w:hAnsi="Arial" w:cs="Arial"/>
          <w:sz w:val="20"/>
          <w:szCs w:val="20"/>
        </w:rPr>
        <w:t xml:space="preserve"> </w:t>
      </w:r>
      <w:r w:rsidRPr="00972BFA">
        <w:rPr>
          <w:rFonts w:ascii="Arial" w:hAnsi="Arial" w:cs="Arial"/>
          <w:sz w:val="20"/>
          <w:szCs w:val="20"/>
        </w:rPr>
        <w:t>l’assignation des parties, les recours, les demandes ou les requêtes , les significations, les mémoires des recours et</w:t>
      </w:r>
      <w:r>
        <w:rPr>
          <w:rFonts w:ascii="Arial" w:hAnsi="Arial" w:cs="Arial"/>
          <w:sz w:val="20"/>
          <w:szCs w:val="20"/>
        </w:rPr>
        <w:t xml:space="preserve"> </w:t>
      </w:r>
      <w:r w:rsidRPr="00972BFA">
        <w:rPr>
          <w:rFonts w:ascii="Arial" w:hAnsi="Arial" w:cs="Arial"/>
          <w:sz w:val="20"/>
          <w:szCs w:val="20"/>
        </w:rPr>
        <w:t>conclusions en défense, les déclarations, et l’immatriculation, les publicités ainsi que la mise à jour.</w:t>
      </w:r>
    </w:p>
    <w:p w14:paraId="4D581C0A" w14:textId="5B7DCEDF" w:rsidR="00972BFA" w:rsidRPr="00972BFA" w:rsidRDefault="00972BFA" w:rsidP="00972BFA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72BFA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972BFA">
        <w:rPr>
          <w:rFonts w:ascii="Arial" w:hAnsi="Arial" w:cs="Arial"/>
          <w:sz w:val="20"/>
          <w:szCs w:val="20"/>
        </w:rPr>
        <w:t>La durée de suspension des délais prévue au premier article s’étend du 23 novembre 2020 au 31 janvier</w:t>
      </w:r>
      <w:r>
        <w:rPr>
          <w:rFonts w:ascii="Arial" w:hAnsi="Arial" w:cs="Arial"/>
          <w:sz w:val="20"/>
          <w:szCs w:val="20"/>
        </w:rPr>
        <w:t xml:space="preserve"> </w:t>
      </w:r>
      <w:r w:rsidRPr="00972BFA">
        <w:rPr>
          <w:rFonts w:ascii="Arial" w:hAnsi="Arial" w:cs="Arial"/>
          <w:sz w:val="20"/>
          <w:szCs w:val="20"/>
        </w:rPr>
        <w:t>2021 inclus.</w:t>
      </w:r>
    </w:p>
    <w:p w14:paraId="3ACA0B9D" w14:textId="23813145" w:rsidR="00972BFA" w:rsidRPr="00972BFA" w:rsidRDefault="00972BFA" w:rsidP="00972BFA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72BFA">
        <w:rPr>
          <w:rFonts w:ascii="Arial" w:hAnsi="Arial" w:cs="Arial"/>
          <w:b/>
          <w:bCs/>
          <w:i/>
          <w:iCs/>
          <w:sz w:val="20"/>
          <w:szCs w:val="20"/>
        </w:rPr>
        <w:t>Art. 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972BFA">
        <w:rPr>
          <w:rFonts w:ascii="Arial" w:hAnsi="Arial" w:cs="Arial"/>
          <w:sz w:val="20"/>
          <w:szCs w:val="20"/>
        </w:rPr>
        <w:t>Les dispositions de la présente loi s’appliquent à toutes les actions en justice ou requêtes, les procédures,</w:t>
      </w:r>
      <w:r>
        <w:rPr>
          <w:rFonts w:ascii="Arial" w:hAnsi="Arial" w:cs="Arial"/>
          <w:sz w:val="20"/>
          <w:szCs w:val="20"/>
        </w:rPr>
        <w:t xml:space="preserve"> </w:t>
      </w:r>
      <w:r w:rsidRPr="00972BFA">
        <w:rPr>
          <w:rFonts w:ascii="Arial" w:hAnsi="Arial" w:cs="Arial"/>
          <w:sz w:val="20"/>
          <w:szCs w:val="20"/>
        </w:rPr>
        <w:t>les délais et les demandes y afférents, prévus par tous les textes juridiques en vigueur en Tunisie.</w:t>
      </w:r>
    </w:p>
    <w:p w14:paraId="31DF87B5" w14:textId="2563E018" w:rsidR="00972BFA" w:rsidRPr="00972BFA" w:rsidRDefault="00972BFA" w:rsidP="00972BFA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72BFA">
        <w:rPr>
          <w:rFonts w:ascii="Arial" w:hAnsi="Arial" w:cs="Arial"/>
          <w:b/>
          <w:bCs/>
          <w:i/>
          <w:iCs/>
          <w:sz w:val="20"/>
          <w:szCs w:val="20"/>
        </w:rPr>
        <w:t>Art. 4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972BFA">
        <w:rPr>
          <w:rFonts w:ascii="Arial" w:hAnsi="Arial" w:cs="Arial"/>
          <w:sz w:val="20"/>
          <w:szCs w:val="20"/>
        </w:rPr>
        <w:t>Les délais fixés par la présente loi s’appliquent à toutes les actions en justice, les recours, les</w:t>
      </w:r>
      <w:r>
        <w:rPr>
          <w:rFonts w:ascii="Arial" w:hAnsi="Arial" w:cs="Arial"/>
          <w:sz w:val="20"/>
          <w:szCs w:val="20"/>
        </w:rPr>
        <w:t xml:space="preserve"> </w:t>
      </w:r>
      <w:r w:rsidRPr="00972BFA">
        <w:rPr>
          <w:rFonts w:ascii="Arial" w:hAnsi="Arial" w:cs="Arial"/>
          <w:sz w:val="20"/>
          <w:szCs w:val="20"/>
        </w:rPr>
        <w:t>procédures, les délais et les demandes y afférents, et qui auraient dû être présentés, enregistrés, portés devant les</w:t>
      </w:r>
      <w:r>
        <w:rPr>
          <w:rFonts w:ascii="Arial" w:hAnsi="Arial" w:cs="Arial"/>
          <w:sz w:val="20"/>
          <w:szCs w:val="20"/>
        </w:rPr>
        <w:t xml:space="preserve"> </w:t>
      </w:r>
      <w:r w:rsidRPr="00972BFA">
        <w:rPr>
          <w:rFonts w:ascii="Arial" w:hAnsi="Arial" w:cs="Arial"/>
          <w:sz w:val="20"/>
          <w:szCs w:val="20"/>
        </w:rPr>
        <w:t>juridictions ou enrôlés dans le délai prévu à l’article premier de la présente loi, un mois après son entrée en vigueur.</w:t>
      </w:r>
    </w:p>
    <w:p w14:paraId="676604D1" w14:textId="77777777" w:rsidR="00972BFA" w:rsidRPr="00972BFA" w:rsidRDefault="00972BFA" w:rsidP="00972BFA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72BFA">
        <w:rPr>
          <w:rFonts w:ascii="Arial" w:hAnsi="Arial" w:cs="Arial"/>
          <w:sz w:val="20"/>
          <w:szCs w:val="20"/>
        </w:rPr>
        <w:t>La présente loi sera publiée au Journal officiel de la République tunisienne et exécutée comme loi de l'Etat.</w:t>
      </w:r>
    </w:p>
    <w:p w14:paraId="3EC25924" w14:textId="4FD3AC81" w:rsidR="00180EC0" w:rsidRPr="00972BFA" w:rsidRDefault="00972BFA" w:rsidP="00972BFA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972BFA">
        <w:rPr>
          <w:rFonts w:ascii="Arial" w:hAnsi="Arial" w:cs="Arial"/>
          <w:b/>
          <w:bCs/>
          <w:sz w:val="20"/>
          <w:szCs w:val="20"/>
        </w:rPr>
        <w:t>Tunis, le 7 avril 2021.</w:t>
      </w:r>
    </w:p>
    <w:sectPr w:rsidR="00180EC0" w:rsidRPr="00972BFA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11C9" w14:textId="77777777" w:rsidR="00A507B9" w:rsidRDefault="00A507B9" w:rsidP="008F3F2D">
      <w:r>
        <w:separator/>
      </w:r>
    </w:p>
  </w:endnote>
  <w:endnote w:type="continuationSeparator" w:id="0">
    <w:p w14:paraId="2F8C312C" w14:textId="77777777" w:rsidR="00A507B9" w:rsidRDefault="00A507B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42698F3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63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42698F3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63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66537C4F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63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63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66537C4F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63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63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4420" w14:textId="77777777" w:rsidR="00A507B9" w:rsidRDefault="00A507B9" w:rsidP="008F3F2D">
      <w:r>
        <w:separator/>
      </w:r>
    </w:p>
  </w:footnote>
  <w:footnote w:type="continuationSeparator" w:id="0">
    <w:p w14:paraId="22F313D0" w14:textId="77777777" w:rsidR="00A507B9" w:rsidRDefault="00A507B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7C4"/>
    <w:multiLevelType w:val="hybridMultilevel"/>
    <w:tmpl w:val="DF008E9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AB3"/>
    <w:multiLevelType w:val="hybridMultilevel"/>
    <w:tmpl w:val="AE1007B0"/>
    <w:lvl w:ilvl="0" w:tplc="BE04290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9C195B"/>
    <w:multiLevelType w:val="hybridMultilevel"/>
    <w:tmpl w:val="9E38460A"/>
    <w:lvl w:ilvl="0" w:tplc="506A60A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F47F23"/>
    <w:multiLevelType w:val="hybridMultilevel"/>
    <w:tmpl w:val="D5025B7E"/>
    <w:lvl w:ilvl="0" w:tplc="210C4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992"/>
    <w:multiLevelType w:val="hybridMultilevel"/>
    <w:tmpl w:val="1C1E33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B5BBB"/>
    <w:multiLevelType w:val="hybridMultilevel"/>
    <w:tmpl w:val="818C565C"/>
    <w:lvl w:ilvl="0" w:tplc="8A5455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55294B"/>
    <w:multiLevelType w:val="hybridMultilevel"/>
    <w:tmpl w:val="C9BA91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0785B"/>
    <w:multiLevelType w:val="hybridMultilevel"/>
    <w:tmpl w:val="3E1ADD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8A646C"/>
    <w:multiLevelType w:val="hybridMultilevel"/>
    <w:tmpl w:val="0CE85E1A"/>
    <w:lvl w:ilvl="0" w:tplc="499E99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B37991"/>
    <w:multiLevelType w:val="hybridMultilevel"/>
    <w:tmpl w:val="EE1A20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47312"/>
    <w:multiLevelType w:val="hybridMultilevel"/>
    <w:tmpl w:val="950683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4B2C68"/>
    <w:multiLevelType w:val="hybridMultilevel"/>
    <w:tmpl w:val="ADF05010"/>
    <w:lvl w:ilvl="0" w:tplc="92AC61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8B2982"/>
    <w:multiLevelType w:val="hybridMultilevel"/>
    <w:tmpl w:val="5456DB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101FC7"/>
    <w:multiLevelType w:val="hybridMultilevel"/>
    <w:tmpl w:val="961AD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5A6781"/>
    <w:multiLevelType w:val="hybridMultilevel"/>
    <w:tmpl w:val="026C5CD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660B14"/>
    <w:multiLevelType w:val="hybridMultilevel"/>
    <w:tmpl w:val="50C88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3F4C30"/>
    <w:multiLevelType w:val="hybridMultilevel"/>
    <w:tmpl w:val="235033D8"/>
    <w:lvl w:ilvl="0" w:tplc="E16A22EC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8706D3C"/>
    <w:multiLevelType w:val="hybridMultilevel"/>
    <w:tmpl w:val="E60AC14E"/>
    <w:lvl w:ilvl="0" w:tplc="510CC08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453995"/>
    <w:multiLevelType w:val="hybridMultilevel"/>
    <w:tmpl w:val="6864286A"/>
    <w:lvl w:ilvl="0" w:tplc="9B9672D8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21857CC"/>
    <w:multiLevelType w:val="hybridMultilevel"/>
    <w:tmpl w:val="C260839E"/>
    <w:lvl w:ilvl="0" w:tplc="A3A2E57E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9F17F9"/>
    <w:multiLevelType w:val="hybridMultilevel"/>
    <w:tmpl w:val="69DA684C"/>
    <w:lvl w:ilvl="0" w:tplc="9CC6D6F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B891BBA"/>
    <w:multiLevelType w:val="hybridMultilevel"/>
    <w:tmpl w:val="9CE4600C"/>
    <w:lvl w:ilvl="0" w:tplc="5B80953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C31F8C"/>
    <w:multiLevelType w:val="hybridMultilevel"/>
    <w:tmpl w:val="048857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D67EA3"/>
    <w:multiLevelType w:val="hybridMultilevel"/>
    <w:tmpl w:val="FF6698D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051103"/>
    <w:multiLevelType w:val="hybridMultilevel"/>
    <w:tmpl w:val="BD7CC3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48B15DE"/>
    <w:multiLevelType w:val="hybridMultilevel"/>
    <w:tmpl w:val="41A4AF6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5E042D4"/>
    <w:multiLevelType w:val="hybridMultilevel"/>
    <w:tmpl w:val="0E7AE1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21874E3"/>
    <w:multiLevelType w:val="hybridMultilevel"/>
    <w:tmpl w:val="0992A9D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B87B3A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C56ED7"/>
    <w:multiLevelType w:val="hybridMultilevel"/>
    <w:tmpl w:val="F0C07B0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473947"/>
    <w:multiLevelType w:val="hybridMultilevel"/>
    <w:tmpl w:val="546401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4944AAF"/>
    <w:multiLevelType w:val="hybridMultilevel"/>
    <w:tmpl w:val="BCD01B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A66F23"/>
    <w:multiLevelType w:val="hybridMultilevel"/>
    <w:tmpl w:val="D6C878CA"/>
    <w:lvl w:ilvl="0" w:tplc="1B7827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1E9478E"/>
    <w:multiLevelType w:val="hybridMultilevel"/>
    <w:tmpl w:val="B08C9FA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151A79"/>
    <w:multiLevelType w:val="hybridMultilevel"/>
    <w:tmpl w:val="091A95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98FCAB58">
      <w:start w:val="7"/>
      <w:numFmt w:val="bullet"/>
      <w:lvlText w:val="-"/>
      <w:lvlJc w:val="left"/>
      <w:pPr>
        <w:ind w:left="2624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495600"/>
    <w:multiLevelType w:val="hybridMultilevel"/>
    <w:tmpl w:val="EF900E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4B6030"/>
    <w:multiLevelType w:val="hybridMultilevel"/>
    <w:tmpl w:val="93D24C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73B6C42"/>
    <w:multiLevelType w:val="hybridMultilevel"/>
    <w:tmpl w:val="87D20B56"/>
    <w:lvl w:ilvl="0" w:tplc="8862AB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9632627"/>
    <w:multiLevelType w:val="hybridMultilevel"/>
    <w:tmpl w:val="BC6270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D74D78"/>
    <w:multiLevelType w:val="hybridMultilevel"/>
    <w:tmpl w:val="5B6E21AC"/>
    <w:lvl w:ilvl="0" w:tplc="784A296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B2A4CE7"/>
    <w:multiLevelType w:val="hybridMultilevel"/>
    <w:tmpl w:val="22BE28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D4E7E0D"/>
    <w:multiLevelType w:val="hybridMultilevel"/>
    <w:tmpl w:val="0C72F6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EC34D6F"/>
    <w:multiLevelType w:val="hybridMultilevel"/>
    <w:tmpl w:val="DD3AA8F8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7EC4667D"/>
    <w:multiLevelType w:val="hybridMultilevel"/>
    <w:tmpl w:val="1826A852"/>
    <w:lvl w:ilvl="0" w:tplc="954614A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F675AC0"/>
    <w:multiLevelType w:val="hybridMultilevel"/>
    <w:tmpl w:val="72DCBF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39"/>
  </w:num>
  <w:num w:numId="4">
    <w:abstractNumId w:val="42"/>
  </w:num>
  <w:num w:numId="5">
    <w:abstractNumId w:val="15"/>
  </w:num>
  <w:num w:numId="6">
    <w:abstractNumId w:val="36"/>
  </w:num>
  <w:num w:numId="7">
    <w:abstractNumId w:val="27"/>
  </w:num>
  <w:num w:numId="8">
    <w:abstractNumId w:val="7"/>
  </w:num>
  <w:num w:numId="9">
    <w:abstractNumId w:val="31"/>
  </w:num>
  <w:num w:numId="10">
    <w:abstractNumId w:val="4"/>
  </w:num>
  <w:num w:numId="11">
    <w:abstractNumId w:val="1"/>
  </w:num>
  <w:num w:numId="12">
    <w:abstractNumId w:val="43"/>
  </w:num>
  <w:num w:numId="13">
    <w:abstractNumId w:val="41"/>
  </w:num>
  <w:num w:numId="14">
    <w:abstractNumId w:val="30"/>
  </w:num>
  <w:num w:numId="15">
    <w:abstractNumId w:val="33"/>
  </w:num>
  <w:num w:numId="16">
    <w:abstractNumId w:val="9"/>
  </w:num>
  <w:num w:numId="17">
    <w:abstractNumId w:val="16"/>
  </w:num>
  <w:num w:numId="18">
    <w:abstractNumId w:val="6"/>
  </w:num>
  <w:num w:numId="19">
    <w:abstractNumId w:val="18"/>
  </w:num>
  <w:num w:numId="20">
    <w:abstractNumId w:val="35"/>
  </w:num>
  <w:num w:numId="21">
    <w:abstractNumId w:val="22"/>
  </w:num>
  <w:num w:numId="22">
    <w:abstractNumId w:val="14"/>
  </w:num>
  <w:num w:numId="23">
    <w:abstractNumId w:val="25"/>
  </w:num>
  <w:num w:numId="24">
    <w:abstractNumId w:val="10"/>
  </w:num>
  <w:num w:numId="25">
    <w:abstractNumId w:val="40"/>
  </w:num>
  <w:num w:numId="26">
    <w:abstractNumId w:val="23"/>
  </w:num>
  <w:num w:numId="27">
    <w:abstractNumId w:val="29"/>
  </w:num>
  <w:num w:numId="28">
    <w:abstractNumId w:val="12"/>
  </w:num>
  <w:num w:numId="29">
    <w:abstractNumId w:val="11"/>
  </w:num>
  <w:num w:numId="30">
    <w:abstractNumId w:val="32"/>
  </w:num>
  <w:num w:numId="31">
    <w:abstractNumId w:val="5"/>
  </w:num>
  <w:num w:numId="32">
    <w:abstractNumId w:val="37"/>
  </w:num>
  <w:num w:numId="33">
    <w:abstractNumId w:val="8"/>
  </w:num>
  <w:num w:numId="34">
    <w:abstractNumId w:val="13"/>
  </w:num>
  <w:num w:numId="35">
    <w:abstractNumId w:val="2"/>
  </w:num>
  <w:num w:numId="36">
    <w:abstractNumId w:val="34"/>
  </w:num>
  <w:num w:numId="37">
    <w:abstractNumId w:val="17"/>
  </w:num>
  <w:num w:numId="38">
    <w:abstractNumId w:val="24"/>
  </w:num>
  <w:num w:numId="39">
    <w:abstractNumId w:val="20"/>
  </w:num>
  <w:num w:numId="40">
    <w:abstractNumId w:val="28"/>
  </w:num>
  <w:num w:numId="41">
    <w:abstractNumId w:val="21"/>
  </w:num>
  <w:num w:numId="42">
    <w:abstractNumId w:val="26"/>
  </w:num>
  <w:num w:numId="43">
    <w:abstractNumId w:val="3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329FB"/>
    <w:rsid w:val="000414A7"/>
    <w:rsid w:val="000437B1"/>
    <w:rsid w:val="00062ECD"/>
    <w:rsid w:val="00075084"/>
    <w:rsid w:val="0007570B"/>
    <w:rsid w:val="00077529"/>
    <w:rsid w:val="00084049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100A66"/>
    <w:rsid w:val="0010537F"/>
    <w:rsid w:val="001323AC"/>
    <w:rsid w:val="00135F7E"/>
    <w:rsid w:val="00137334"/>
    <w:rsid w:val="001375FF"/>
    <w:rsid w:val="00152048"/>
    <w:rsid w:val="00167394"/>
    <w:rsid w:val="00180EC0"/>
    <w:rsid w:val="00196DF4"/>
    <w:rsid w:val="001A535F"/>
    <w:rsid w:val="001B250B"/>
    <w:rsid w:val="001B4835"/>
    <w:rsid w:val="001C2C12"/>
    <w:rsid w:val="001D09A6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54BEF"/>
    <w:rsid w:val="00255AAF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22E7A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C1D4F"/>
    <w:rsid w:val="003F4AF0"/>
    <w:rsid w:val="0040015B"/>
    <w:rsid w:val="00400161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4F6564"/>
    <w:rsid w:val="00503E5A"/>
    <w:rsid w:val="00510021"/>
    <w:rsid w:val="0052779B"/>
    <w:rsid w:val="00534D63"/>
    <w:rsid w:val="00545C63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353B0"/>
    <w:rsid w:val="00644735"/>
    <w:rsid w:val="00655DBD"/>
    <w:rsid w:val="00660423"/>
    <w:rsid w:val="006679BE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D707B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94E6D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B3D28"/>
    <w:rsid w:val="008B4B90"/>
    <w:rsid w:val="008E7D4E"/>
    <w:rsid w:val="008F3F2D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6509C"/>
    <w:rsid w:val="00971836"/>
    <w:rsid w:val="00972BFA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9F54D1"/>
    <w:rsid w:val="00A004D6"/>
    <w:rsid w:val="00A00644"/>
    <w:rsid w:val="00A02FE2"/>
    <w:rsid w:val="00A0369D"/>
    <w:rsid w:val="00A04F09"/>
    <w:rsid w:val="00A132F9"/>
    <w:rsid w:val="00A23AAD"/>
    <w:rsid w:val="00A24F23"/>
    <w:rsid w:val="00A507B9"/>
    <w:rsid w:val="00A629D6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0916"/>
    <w:rsid w:val="00AD2268"/>
    <w:rsid w:val="00AD326E"/>
    <w:rsid w:val="00AE3AC0"/>
    <w:rsid w:val="00AE77ED"/>
    <w:rsid w:val="00AF1ECF"/>
    <w:rsid w:val="00B01238"/>
    <w:rsid w:val="00B02795"/>
    <w:rsid w:val="00B05438"/>
    <w:rsid w:val="00B1245A"/>
    <w:rsid w:val="00B12CB6"/>
    <w:rsid w:val="00B147F7"/>
    <w:rsid w:val="00B3632F"/>
    <w:rsid w:val="00B47D95"/>
    <w:rsid w:val="00B617F1"/>
    <w:rsid w:val="00B62824"/>
    <w:rsid w:val="00B64E63"/>
    <w:rsid w:val="00B70FBA"/>
    <w:rsid w:val="00B76B3E"/>
    <w:rsid w:val="00B80B4F"/>
    <w:rsid w:val="00B81EF2"/>
    <w:rsid w:val="00B90CF2"/>
    <w:rsid w:val="00BA0A7C"/>
    <w:rsid w:val="00BA3F7F"/>
    <w:rsid w:val="00C00FC8"/>
    <w:rsid w:val="00C068A7"/>
    <w:rsid w:val="00C13B06"/>
    <w:rsid w:val="00C1635D"/>
    <w:rsid w:val="00C16F6B"/>
    <w:rsid w:val="00C26C82"/>
    <w:rsid w:val="00C33D1B"/>
    <w:rsid w:val="00C454C0"/>
    <w:rsid w:val="00C5594B"/>
    <w:rsid w:val="00C61994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363B2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482F"/>
    <w:rsid w:val="00F57B75"/>
    <w:rsid w:val="00F62055"/>
    <w:rsid w:val="00F63D39"/>
    <w:rsid w:val="00F9481C"/>
    <w:rsid w:val="00FA0F77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BD3C-F509-40FC-AA09-309E96E8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2020-11-09T09:57:00Z</cp:lastPrinted>
  <dcterms:created xsi:type="dcterms:W3CDTF">2021-04-14T11:36:00Z</dcterms:created>
  <dcterms:modified xsi:type="dcterms:W3CDTF">2021-04-14T11:36:00Z</dcterms:modified>
</cp:coreProperties>
</file>