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9F2EC" w14:textId="77777777" w:rsidR="003434BC" w:rsidRDefault="00E334EC" w:rsidP="003434BC">
      <w:pPr>
        <w:spacing w:after="0"/>
        <w:jc w:val="both"/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</w:pPr>
      <w:r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 xml:space="preserve"> </w:t>
      </w:r>
    </w:p>
    <w:p w14:paraId="3F1F769C" w14:textId="77777777" w:rsidR="003434BC" w:rsidRDefault="003434BC" w:rsidP="003434BC">
      <w:pPr>
        <w:spacing w:after="0"/>
        <w:jc w:val="both"/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</w:pPr>
    </w:p>
    <w:p w14:paraId="5D201F93" w14:textId="741D8C3E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</w:pPr>
      <w:bookmarkStart w:id="0" w:name="_GoBack"/>
      <w:r w:rsidRPr="003434BC"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  <w:t>Loi n° 2010-40 du 26 juillet 2010</w:t>
      </w:r>
      <w:bookmarkEnd w:id="0"/>
      <w:r w:rsidRPr="003434BC"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  <w:t>, modifiant les dispositions</w:t>
      </w:r>
      <w:r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  <w:t xml:space="preserve"> de l'article 319 du code pénal</w:t>
      </w:r>
    </w:p>
    <w:p w14:paraId="351608DB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</w:pPr>
    </w:p>
    <w:p w14:paraId="3468248B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3434BC">
        <w:rPr>
          <w:rFonts w:ascii="Arial" w:eastAsia="Arial" w:hAnsi="Arial" w:cs="Times New Roman"/>
          <w:sz w:val="20"/>
          <w:lang w:eastAsia="en-US" w:bidi="ar-TN"/>
        </w:rPr>
        <w:t>Au nom du peuple,</w:t>
      </w:r>
      <w:r w:rsidRPr="003434BC">
        <w:rPr>
          <w:rFonts w:ascii="Arial" w:eastAsia="Arial" w:hAnsi="Arial" w:cs="Times New Roman"/>
          <w:sz w:val="20"/>
          <w:lang w:eastAsia="en-US" w:bidi="ar-TN"/>
        </w:rPr>
        <w:tab/>
      </w:r>
    </w:p>
    <w:p w14:paraId="295E7D4C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1A4EAFAE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3434BC">
        <w:rPr>
          <w:rFonts w:ascii="Arial" w:eastAsia="Arial" w:hAnsi="Arial" w:cs="Times New Roman"/>
          <w:sz w:val="20"/>
          <w:lang w:eastAsia="en-US" w:bidi="ar-TN"/>
        </w:rPr>
        <w:t>La chambre des députés et la chambre des conseillers ayant adopté,</w:t>
      </w:r>
    </w:p>
    <w:p w14:paraId="28F987E1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57B66F1D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3434BC">
        <w:rPr>
          <w:rFonts w:ascii="Arial" w:eastAsia="Arial" w:hAnsi="Arial" w:cs="Times New Roman"/>
          <w:sz w:val="20"/>
          <w:lang w:eastAsia="en-US" w:bidi="ar-TN"/>
        </w:rPr>
        <w:t>Le Président de la République promulgue la loi dont la teneur suit :</w:t>
      </w:r>
    </w:p>
    <w:p w14:paraId="07DE9038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0CD1A1A0" w14:textId="15AE983A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3434BC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Article unique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Pr="003434BC">
        <w:rPr>
          <w:rFonts w:ascii="Arial" w:eastAsia="Arial" w:hAnsi="Arial" w:cs="Times New Roman"/>
          <w:sz w:val="20"/>
          <w:lang w:eastAsia="en-US" w:bidi="ar-TN"/>
        </w:rPr>
        <w:t>Est abrogée, l'expression "Toutefois, la correction infligée à un enfant par les personnes ayant autorité sur lui n'est pas punissable" mentionnée à l'article 319 du code pénal.</w:t>
      </w:r>
    </w:p>
    <w:p w14:paraId="004F60C8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613234CA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3434BC">
        <w:rPr>
          <w:rFonts w:ascii="Arial" w:eastAsia="Arial" w:hAnsi="Arial" w:cs="Times New Roman"/>
          <w:sz w:val="20"/>
          <w:lang w:eastAsia="en-US" w:bidi="ar-TN"/>
        </w:rPr>
        <w:t>La présente loi sera publiée au Journal Officiel de la République Tunisienne et exécutée comme loi de l'Etat.</w:t>
      </w:r>
    </w:p>
    <w:p w14:paraId="0040811F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0BEDFCDC" w14:textId="5E201607" w:rsidR="00E334E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b/>
          <w:bCs/>
          <w:sz w:val="20"/>
          <w:lang w:eastAsia="en-US" w:bidi="ar-TN"/>
        </w:rPr>
      </w:pPr>
      <w:r w:rsidRPr="003434BC">
        <w:rPr>
          <w:rFonts w:ascii="Arial" w:eastAsia="Arial" w:hAnsi="Arial" w:cs="Times New Roman"/>
          <w:b/>
          <w:bCs/>
          <w:sz w:val="20"/>
          <w:lang w:eastAsia="en-US" w:bidi="ar-TN"/>
        </w:rPr>
        <w:t>Tunis, le 26 juillet 2010.</w:t>
      </w:r>
    </w:p>
    <w:p w14:paraId="45A63909" w14:textId="77777777" w:rsidR="003434BC" w:rsidRPr="003434BC" w:rsidRDefault="003434BC" w:rsidP="003434BC">
      <w:pPr>
        <w:spacing w:after="0" w:line="240" w:lineRule="auto"/>
        <w:jc w:val="both"/>
        <w:rPr>
          <w:rFonts w:ascii="Arial" w:eastAsia="Arial" w:hAnsi="Arial" w:cs="Times New Roman"/>
          <w:sz w:val="20"/>
          <w:lang w:eastAsia="en-US" w:bidi="ar-TN"/>
        </w:rPr>
      </w:pPr>
    </w:p>
    <w:sectPr w:rsidR="003434BC" w:rsidRPr="003434BC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B77E4" w14:textId="77777777" w:rsidR="00973EFA" w:rsidRDefault="00973EFA" w:rsidP="008F3F2D">
      <w:r>
        <w:separator/>
      </w:r>
    </w:p>
  </w:endnote>
  <w:endnote w:type="continuationSeparator" w:id="0">
    <w:p w14:paraId="2EDB8BA1" w14:textId="77777777" w:rsidR="00973EFA" w:rsidRDefault="00973EF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C3F27" w:rsidRPr="00C64B86" w:rsidRDefault="000C3F2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34B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34B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434B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434B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C3F27" w:rsidRDefault="000C3F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3EF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3EF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73EF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73EF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CC633" w14:textId="77777777" w:rsidR="00973EFA" w:rsidRDefault="00973EFA" w:rsidP="008F3F2D">
      <w:r>
        <w:separator/>
      </w:r>
    </w:p>
  </w:footnote>
  <w:footnote w:type="continuationSeparator" w:id="0">
    <w:p w14:paraId="0F9204BB" w14:textId="77777777" w:rsidR="00973EFA" w:rsidRDefault="00973EF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CA3D64" w:rsidRDefault="000C3F27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CA3D64" w:rsidRDefault="000C3F27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662EDD"/>
    <w:multiLevelType w:val="hybridMultilevel"/>
    <w:tmpl w:val="2B30415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287"/>
    <w:multiLevelType w:val="hybridMultilevel"/>
    <w:tmpl w:val="59E4D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CD0"/>
    <w:multiLevelType w:val="multilevel"/>
    <w:tmpl w:val="2F96F156"/>
    <w:lvl w:ilvl="0">
      <w:start w:val="2"/>
      <w:numFmt w:val="decimal"/>
      <w:lvlText w:val="%1."/>
      <w:lvlJc w:val="left"/>
      <w:pPr>
        <w:tabs>
          <w:tab w:val="decimal" w:pos="-291"/>
        </w:tabs>
        <w:ind w:left="141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E12"/>
    <w:multiLevelType w:val="hybridMultilevel"/>
    <w:tmpl w:val="5F0CCA2C"/>
    <w:lvl w:ilvl="0" w:tplc="54AE307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2D6C1E"/>
    <w:multiLevelType w:val="hybridMultilevel"/>
    <w:tmpl w:val="03F2B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E4BE9"/>
    <w:multiLevelType w:val="multilevel"/>
    <w:tmpl w:val="F9D85E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2C47B2"/>
    <w:multiLevelType w:val="multilevel"/>
    <w:tmpl w:val="5A284C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5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E636A6"/>
    <w:multiLevelType w:val="hybridMultilevel"/>
    <w:tmpl w:val="747636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A07"/>
    <w:multiLevelType w:val="hybridMultilevel"/>
    <w:tmpl w:val="19D2037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3E377B5F"/>
    <w:multiLevelType w:val="multilevel"/>
    <w:tmpl w:val="8A1E16A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3A6B4B"/>
    <w:multiLevelType w:val="multilevel"/>
    <w:tmpl w:val="BDAE408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51036"/>
    <w:multiLevelType w:val="hybridMultilevel"/>
    <w:tmpl w:val="52AE3A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9AE"/>
    <w:multiLevelType w:val="hybridMultilevel"/>
    <w:tmpl w:val="0550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A2870"/>
    <w:multiLevelType w:val="multilevel"/>
    <w:tmpl w:val="097A083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8C0F5B"/>
    <w:multiLevelType w:val="hybridMultilevel"/>
    <w:tmpl w:val="78FA8E8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3C59"/>
    <w:multiLevelType w:val="hybridMultilevel"/>
    <w:tmpl w:val="E2F802C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08E2"/>
    <w:multiLevelType w:val="hybridMultilevel"/>
    <w:tmpl w:val="D2E63A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F500FF1"/>
    <w:multiLevelType w:val="hybridMultilevel"/>
    <w:tmpl w:val="872E53D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22C70"/>
    <w:multiLevelType w:val="hybridMultilevel"/>
    <w:tmpl w:val="63CC1A6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6932A7F"/>
    <w:multiLevelType w:val="multilevel"/>
    <w:tmpl w:val="034253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059"/>
    <w:multiLevelType w:val="multilevel"/>
    <w:tmpl w:val="E170421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9B7B8C"/>
    <w:multiLevelType w:val="hybridMultilevel"/>
    <w:tmpl w:val="0CDE273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7EF30AB7"/>
    <w:multiLevelType w:val="hybridMultilevel"/>
    <w:tmpl w:val="856E5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14"/>
  </w:num>
  <w:num w:numId="5">
    <w:abstractNumId w:val="26"/>
  </w:num>
  <w:num w:numId="6">
    <w:abstractNumId w:val="36"/>
  </w:num>
  <w:num w:numId="7">
    <w:abstractNumId w:val="20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33"/>
  </w:num>
  <w:num w:numId="13">
    <w:abstractNumId w:val="6"/>
  </w:num>
  <w:num w:numId="14">
    <w:abstractNumId w:val="27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34"/>
  </w:num>
  <w:num w:numId="20">
    <w:abstractNumId w:val="23"/>
  </w:num>
  <w:num w:numId="21">
    <w:abstractNumId w:val="32"/>
  </w:num>
  <w:num w:numId="22">
    <w:abstractNumId w:val="15"/>
  </w:num>
  <w:num w:numId="23">
    <w:abstractNumId w:val="11"/>
  </w:num>
  <w:num w:numId="24">
    <w:abstractNumId w:val="16"/>
  </w:num>
  <w:num w:numId="25">
    <w:abstractNumId w:val="22"/>
  </w:num>
  <w:num w:numId="26">
    <w:abstractNumId w:val="5"/>
  </w:num>
  <w:num w:numId="27">
    <w:abstractNumId w:val="37"/>
  </w:num>
  <w:num w:numId="28">
    <w:abstractNumId w:val="17"/>
  </w:num>
  <w:num w:numId="29">
    <w:abstractNumId w:val="10"/>
  </w:num>
  <w:num w:numId="30">
    <w:abstractNumId w:val="31"/>
  </w:num>
  <w:num w:numId="31">
    <w:abstractNumId w:val="28"/>
  </w:num>
  <w:num w:numId="32">
    <w:abstractNumId w:val="29"/>
  </w:num>
  <w:num w:numId="33">
    <w:abstractNumId w:val="35"/>
  </w:num>
  <w:num w:numId="34">
    <w:abstractNumId w:val="12"/>
  </w:num>
  <w:num w:numId="35">
    <w:abstractNumId w:val="3"/>
  </w:num>
  <w:num w:numId="36">
    <w:abstractNumId w:val="21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414A7"/>
    <w:rsid w:val="00062ECD"/>
    <w:rsid w:val="00093868"/>
    <w:rsid w:val="000B0D20"/>
    <w:rsid w:val="000C24FA"/>
    <w:rsid w:val="000C3F27"/>
    <w:rsid w:val="000C7FAD"/>
    <w:rsid w:val="000D0DE1"/>
    <w:rsid w:val="000F15E4"/>
    <w:rsid w:val="001323AC"/>
    <w:rsid w:val="00137334"/>
    <w:rsid w:val="001A535F"/>
    <w:rsid w:val="001B250B"/>
    <w:rsid w:val="001E10BA"/>
    <w:rsid w:val="001E5DD5"/>
    <w:rsid w:val="001E6787"/>
    <w:rsid w:val="001F6FB9"/>
    <w:rsid w:val="0020398F"/>
    <w:rsid w:val="00233EE8"/>
    <w:rsid w:val="0028158B"/>
    <w:rsid w:val="002B19EE"/>
    <w:rsid w:val="003434BC"/>
    <w:rsid w:val="00354137"/>
    <w:rsid w:val="00356C00"/>
    <w:rsid w:val="00383314"/>
    <w:rsid w:val="00385334"/>
    <w:rsid w:val="003B6CD4"/>
    <w:rsid w:val="003F4AF0"/>
    <w:rsid w:val="0047556B"/>
    <w:rsid w:val="004808F1"/>
    <w:rsid w:val="004918B4"/>
    <w:rsid w:val="004977E0"/>
    <w:rsid w:val="004E246D"/>
    <w:rsid w:val="00503E5A"/>
    <w:rsid w:val="0056186B"/>
    <w:rsid w:val="00584322"/>
    <w:rsid w:val="00595DBD"/>
    <w:rsid w:val="005E7CA9"/>
    <w:rsid w:val="005F7BF4"/>
    <w:rsid w:val="0060594F"/>
    <w:rsid w:val="006353B0"/>
    <w:rsid w:val="00684129"/>
    <w:rsid w:val="006E1F65"/>
    <w:rsid w:val="0071049E"/>
    <w:rsid w:val="007244D3"/>
    <w:rsid w:val="0075404E"/>
    <w:rsid w:val="0077104F"/>
    <w:rsid w:val="007E7F34"/>
    <w:rsid w:val="00846ED4"/>
    <w:rsid w:val="00847F00"/>
    <w:rsid w:val="00873B3E"/>
    <w:rsid w:val="0089552E"/>
    <w:rsid w:val="008F3F2D"/>
    <w:rsid w:val="00911CFA"/>
    <w:rsid w:val="009157FD"/>
    <w:rsid w:val="00957F0E"/>
    <w:rsid w:val="00973EFA"/>
    <w:rsid w:val="0097472C"/>
    <w:rsid w:val="00993EF9"/>
    <w:rsid w:val="009A3536"/>
    <w:rsid w:val="009E055F"/>
    <w:rsid w:val="00A00644"/>
    <w:rsid w:val="00A0369D"/>
    <w:rsid w:val="00A04F09"/>
    <w:rsid w:val="00A23AAD"/>
    <w:rsid w:val="00A24F23"/>
    <w:rsid w:val="00A77B68"/>
    <w:rsid w:val="00A84B7B"/>
    <w:rsid w:val="00A85FD5"/>
    <w:rsid w:val="00A90F21"/>
    <w:rsid w:val="00A9459F"/>
    <w:rsid w:val="00AA0D1E"/>
    <w:rsid w:val="00AD2268"/>
    <w:rsid w:val="00AD4792"/>
    <w:rsid w:val="00B05438"/>
    <w:rsid w:val="00B617F1"/>
    <w:rsid w:val="00BF2C32"/>
    <w:rsid w:val="00C1635D"/>
    <w:rsid w:val="00C30B26"/>
    <w:rsid w:val="00C61994"/>
    <w:rsid w:val="00C64B86"/>
    <w:rsid w:val="00C73D75"/>
    <w:rsid w:val="00CA3D64"/>
    <w:rsid w:val="00CA544B"/>
    <w:rsid w:val="00CC4ADF"/>
    <w:rsid w:val="00D07749"/>
    <w:rsid w:val="00D1177F"/>
    <w:rsid w:val="00D274F6"/>
    <w:rsid w:val="00D36176"/>
    <w:rsid w:val="00DC4590"/>
    <w:rsid w:val="00E05991"/>
    <w:rsid w:val="00E10A35"/>
    <w:rsid w:val="00E22A71"/>
    <w:rsid w:val="00E334EC"/>
    <w:rsid w:val="00E57DAB"/>
    <w:rsid w:val="00E953A2"/>
    <w:rsid w:val="00EB590F"/>
    <w:rsid w:val="00EF16C9"/>
    <w:rsid w:val="00F57B75"/>
    <w:rsid w:val="00FB1EE6"/>
    <w:rsid w:val="00FC19A9"/>
    <w:rsid w:val="00FD657C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C561-D1A2-4AEE-863F-01CD8B5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2</cp:revision>
  <cp:lastPrinted>2012-05-12T20:43:00Z</cp:lastPrinted>
  <dcterms:created xsi:type="dcterms:W3CDTF">2015-09-15T12:34:00Z</dcterms:created>
  <dcterms:modified xsi:type="dcterms:W3CDTF">2015-09-15T12:34:00Z</dcterms:modified>
</cp:coreProperties>
</file>