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59993B83" w14:textId="77777777" w:rsidR="00AE5A82" w:rsidRPr="00AE5A82" w:rsidRDefault="00AE5A82" w:rsidP="00AE5A82">
      <w:pPr>
        <w:bidi/>
        <w:spacing w:before="100" w:beforeAutospacing="1" w:after="0"/>
        <w:ind w:left="283"/>
        <w:jc w:val="both"/>
        <w:rPr>
          <w:rFonts w:ascii="Arial" w:eastAsia="Calibri" w:hAnsi="Arial" w:cs="Arial" w:hint="cs"/>
          <w:b/>
          <w:bCs/>
          <w:color w:val="000000"/>
          <w:sz w:val="24"/>
          <w:szCs w:val="24"/>
          <w:shd w:val="clear" w:color="auto" w:fill="FFFFFF"/>
          <w:rtl/>
          <w:lang w:eastAsia="en-US"/>
        </w:rPr>
      </w:pPr>
      <w:proofErr w:type="gramStart"/>
      <w:r w:rsidRPr="00AE5A82">
        <w:rPr>
          <w:rFonts w:ascii="Arial" w:eastAsia="Calibri" w:hAnsi="Arial" w:cs="Arial"/>
          <w:b/>
          <w:bCs/>
          <w:color w:val="000000"/>
          <w:sz w:val="24"/>
          <w:szCs w:val="24"/>
          <w:shd w:val="clear" w:color="auto" w:fill="FFFFFF"/>
          <w:rtl/>
          <w:lang w:eastAsia="en-US"/>
        </w:rPr>
        <w:t>قانون</w:t>
      </w:r>
      <w:proofErr w:type="gramEnd"/>
      <w:r w:rsidRPr="00AE5A82">
        <w:rPr>
          <w:rFonts w:ascii="Arial" w:eastAsia="Calibri" w:hAnsi="Arial" w:cs="Arial"/>
          <w:b/>
          <w:bCs/>
          <w:color w:val="000000"/>
          <w:sz w:val="24"/>
          <w:szCs w:val="24"/>
          <w:shd w:val="clear" w:color="auto" w:fill="FFFFFF"/>
          <w:rtl/>
          <w:lang w:eastAsia="en-US"/>
        </w:rPr>
        <w:t xml:space="preserve"> عدد 75 ل</w:t>
      </w:r>
      <w:bookmarkStart w:id="0" w:name="_GoBack"/>
      <w:bookmarkEnd w:id="0"/>
      <w:r w:rsidRPr="00AE5A82">
        <w:rPr>
          <w:rFonts w:ascii="Arial" w:eastAsia="Calibri" w:hAnsi="Arial" w:cs="Arial"/>
          <w:b/>
          <w:bCs/>
          <w:color w:val="000000"/>
          <w:sz w:val="24"/>
          <w:szCs w:val="24"/>
          <w:shd w:val="clear" w:color="auto" w:fill="FFFFFF"/>
          <w:rtl/>
          <w:lang w:eastAsia="en-US"/>
        </w:rPr>
        <w:t>سنة 2008 مؤرخ في 11 ديسمبر 2008 يتعلق بتدعيم ضمانات المتهم وتطوير وضعية الموقوفين وتيسير شروط الإدماج</w:t>
      </w:r>
    </w:p>
    <w:p w14:paraId="668D01A8"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color w:val="000000"/>
          <w:shd w:val="clear" w:color="auto" w:fill="FFFFFF"/>
          <w:rtl/>
          <w:lang w:eastAsia="en-US"/>
        </w:rPr>
        <w:t>باسم</w:t>
      </w:r>
      <w:proofErr w:type="gramEnd"/>
      <w:r w:rsidRPr="00AE5A82">
        <w:rPr>
          <w:rFonts w:ascii="Arial" w:eastAsia="Calibri" w:hAnsi="Arial" w:cs="Arial"/>
          <w:color w:val="000000"/>
          <w:shd w:val="clear" w:color="auto" w:fill="FFFFFF"/>
          <w:rtl/>
          <w:lang w:eastAsia="en-US"/>
        </w:rPr>
        <w:t xml:space="preserve"> الشعب،</w:t>
      </w:r>
    </w:p>
    <w:p w14:paraId="4A85678B"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color w:val="000000"/>
          <w:shd w:val="clear" w:color="auto" w:fill="FFFFFF"/>
          <w:rtl/>
          <w:lang w:eastAsia="en-US"/>
        </w:rPr>
        <w:t>وبعد</w:t>
      </w:r>
      <w:proofErr w:type="gramEnd"/>
      <w:r w:rsidRPr="00AE5A82">
        <w:rPr>
          <w:rFonts w:ascii="Arial" w:eastAsia="Calibri" w:hAnsi="Arial" w:cs="Arial"/>
          <w:color w:val="000000"/>
          <w:shd w:val="clear" w:color="auto" w:fill="FFFFFF"/>
          <w:rtl/>
          <w:lang w:eastAsia="en-US"/>
        </w:rPr>
        <w:t xml:space="preserve"> موافقة مجلس النواب ومجلس المستشارين،</w:t>
      </w:r>
    </w:p>
    <w:p w14:paraId="7AE20D58"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color w:val="000000"/>
          <w:shd w:val="clear" w:color="auto" w:fill="FFFFFF"/>
          <w:rtl/>
          <w:lang w:eastAsia="en-US"/>
        </w:rPr>
        <w:t>يصدر رئيس الجمهورية القانون الآتي نصه</w:t>
      </w:r>
      <w:r w:rsidRPr="00AE5A82">
        <w:rPr>
          <w:rFonts w:ascii="Arial" w:eastAsia="Calibri" w:hAnsi="Arial" w:cs="Arial" w:hint="cs"/>
          <w:color w:val="000000"/>
          <w:shd w:val="clear" w:color="auto" w:fill="FFFFFF"/>
          <w:rtl/>
          <w:lang w:eastAsia="en-US"/>
        </w:rPr>
        <w:t>:</w:t>
      </w:r>
    </w:p>
    <w:p w14:paraId="4D26DE9B"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الأول</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تنقح الفقرة الأخيرة من الفصل 85 من مجلة الإجراءات الجزائية كما يلي</w:t>
      </w:r>
      <w:r w:rsidRPr="00AE5A82">
        <w:rPr>
          <w:rFonts w:ascii="Arial" w:eastAsia="Calibri" w:hAnsi="Arial" w:cs="Arial"/>
          <w:color w:val="000000"/>
          <w:shd w:val="clear" w:color="auto" w:fill="FFFFFF"/>
          <w:lang w:eastAsia="en-US"/>
        </w:rPr>
        <w:t xml:space="preserve"> :</w:t>
      </w:r>
    </w:p>
    <w:p w14:paraId="6736C0E4"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85 (فقرة أخيرة جديدة)</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ويتحتم الإفراج بضمان أو بدونه بعد الاستنطاق بخمسة أيام عن المتهم الذي له مقر معين بالتراب التونسي ولم يسبق الحكم عليه بأكثر من ستة أشهر سجنا إذا كان أقصى العقاب المقرر قانونا لا يتجاوز عامين سجنا فيما عدا الجرائم المنصوص عليها بالفصول 68 و70 و217 من المجلة الجزائية</w:t>
      </w:r>
      <w:r w:rsidRPr="00AE5A82">
        <w:rPr>
          <w:rFonts w:ascii="Arial" w:eastAsia="Calibri" w:hAnsi="Arial" w:cs="Arial"/>
          <w:color w:val="000000"/>
          <w:shd w:val="clear" w:color="auto" w:fill="FFFFFF"/>
          <w:lang w:eastAsia="en-US"/>
        </w:rPr>
        <w:t>.</w:t>
      </w:r>
    </w:p>
    <w:p w14:paraId="3A92C9D6"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2</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يضاف إلى مجلة الإجراءات الجزائية فقرة جديدة بالفصل 85 تدرج مباشرة قبل الفقرة الأخيرة منه وفصل 104 مكرر وفقرتان رابعة وخامسة بالفصل 261 وفقرة جديدة بالفصل 365 تدرج مباشرة قبل الفقرة الأخيرة منه على النحو التالي</w:t>
      </w:r>
      <w:r w:rsidRPr="00AE5A82">
        <w:rPr>
          <w:rFonts w:ascii="Arial" w:eastAsia="Calibri" w:hAnsi="Arial" w:cs="Arial"/>
          <w:color w:val="000000"/>
          <w:shd w:val="clear" w:color="auto" w:fill="FFFFFF"/>
          <w:lang w:eastAsia="en-US"/>
        </w:rPr>
        <w:t xml:space="preserve"> .</w:t>
      </w:r>
    </w:p>
    <w:p w14:paraId="2C55FCDF"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85 (فقرة قبل الأخيرة)</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ولا يمكن أن يترتب عن قرار دائرة الاتهام بإحالة الملف إلى قاضي التحقيق لمواصلة بعض الأعمال التي تقتضيها تهيئة القضية للفصل تجاوز المدة القصوى للإيقاف التحفظي للمتهم الذي يتحتم، في هذه الحالة، على قاضي التحقيق أو دائرة الاتهام، حسب الأحوال، الإذن بالإفراج عنه مؤقتا دون أن يمنع ذلك من اتخاذ التدابير اللازمة بضمان حضوره</w:t>
      </w:r>
      <w:r w:rsidRPr="00AE5A82">
        <w:rPr>
          <w:rFonts w:ascii="Arial" w:eastAsia="Calibri" w:hAnsi="Arial" w:cs="Arial"/>
          <w:color w:val="000000"/>
          <w:shd w:val="clear" w:color="auto" w:fill="FFFFFF"/>
          <w:lang w:eastAsia="en-US"/>
        </w:rPr>
        <w:t>.</w:t>
      </w:r>
    </w:p>
    <w:p w14:paraId="79D2C097"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104 مكرر</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فيما عدا الحالات التي يتحتم فيها ضم الإجراءات لبعضها بعضا تطبيقا للفصل 131 من هذه المجلة و55 من المجلة الزائية، يمكن لقاضي التحقيق، عند تهيىء القضية للفصل بالنسبة للمتهم المنسوبة إليه أفعال يعتبرها القانون مخالفة أو جنحة، تفكيك الملف وإحالته على وكيل الجمهورية لتقديم طلباته الكتابية بشأنه دون التوقف على إنهاء أعماله بالنسبة لغيره ممن تنسب إليه أفعال يعتبرها القانون جناية</w:t>
      </w:r>
      <w:r w:rsidRPr="00AE5A82">
        <w:rPr>
          <w:rFonts w:ascii="Arial" w:eastAsia="Calibri" w:hAnsi="Arial" w:cs="Arial" w:hint="cs"/>
          <w:color w:val="000000"/>
          <w:shd w:val="clear" w:color="auto" w:fill="FFFFFF"/>
          <w:rtl/>
          <w:lang w:eastAsia="en-US"/>
        </w:rPr>
        <w:t>.</w:t>
      </w:r>
    </w:p>
    <w:p w14:paraId="253348EF"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color w:val="000000"/>
          <w:shd w:val="clear" w:color="auto" w:fill="FFFFFF"/>
          <w:rtl/>
          <w:lang w:eastAsia="en-US"/>
        </w:rPr>
        <w:t>كما</w:t>
      </w:r>
      <w:proofErr w:type="gramEnd"/>
      <w:r w:rsidRPr="00AE5A82">
        <w:rPr>
          <w:rFonts w:ascii="Arial" w:eastAsia="Calibri" w:hAnsi="Arial" w:cs="Arial"/>
          <w:color w:val="000000"/>
          <w:shd w:val="clear" w:color="auto" w:fill="FFFFFF"/>
          <w:rtl/>
          <w:lang w:eastAsia="en-US"/>
        </w:rPr>
        <w:t xml:space="preserve"> يمكن لقاضي التحقيق، ولو في صورة تعهده بأفعال يعتبرها القانون جناية بالنسبة لكل المتهمين، تفكيك الملف لغاية تعجيل النظر بشأن الموقوفين منهم دون التوقف على إنهاء أعماله بالنسبة لغيرهم لاعتبارات تتعلق بضروريات البحث</w:t>
      </w:r>
      <w:r w:rsidRPr="00AE5A82">
        <w:rPr>
          <w:rFonts w:ascii="Arial" w:eastAsia="Calibri" w:hAnsi="Arial" w:cs="Arial" w:hint="cs"/>
          <w:color w:val="000000"/>
          <w:shd w:val="clear" w:color="auto" w:fill="FFFFFF"/>
          <w:rtl/>
          <w:lang w:eastAsia="en-US"/>
        </w:rPr>
        <w:t>.</w:t>
      </w:r>
    </w:p>
    <w:p w14:paraId="3B81B7D7"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color w:val="000000"/>
          <w:shd w:val="clear" w:color="auto" w:fill="FFFFFF"/>
          <w:rtl/>
          <w:lang w:eastAsia="en-US"/>
        </w:rPr>
        <w:t>وبمجرد</w:t>
      </w:r>
      <w:proofErr w:type="gramEnd"/>
      <w:r w:rsidRPr="00AE5A82">
        <w:rPr>
          <w:rFonts w:ascii="Arial" w:eastAsia="Calibri" w:hAnsi="Arial" w:cs="Arial"/>
          <w:color w:val="000000"/>
          <w:shd w:val="clear" w:color="auto" w:fill="FFFFFF"/>
          <w:rtl/>
          <w:lang w:eastAsia="en-US"/>
        </w:rPr>
        <w:t xml:space="preserve"> تقديم وكيل الجمهورية طلباته يصدر قاضي التحقيق قرارا مستقلا بشأن جميع المتهمين المفردين بالتتبع ويبقى متعهدا بالبحث بشأن بقية المتهمين إلى حين إصدار قرار مستقل بشأنهم</w:t>
      </w:r>
      <w:r w:rsidRPr="00AE5A82">
        <w:rPr>
          <w:rFonts w:ascii="Arial" w:eastAsia="Calibri" w:hAnsi="Arial" w:cs="Arial" w:hint="cs"/>
          <w:color w:val="000000"/>
          <w:shd w:val="clear" w:color="auto" w:fill="FFFFFF"/>
          <w:rtl/>
          <w:lang w:eastAsia="en-US"/>
        </w:rPr>
        <w:t>.</w:t>
      </w:r>
    </w:p>
    <w:p w14:paraId="7A7683BA"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b/>
          <w:bCs/>
          <w:color w:val="000000"/>
          <w:shd w:val="clear" w:color="auto" w:fill="FFFFFF"/>
          <w:rtl/>
          <w:lang w:eastAsia="en-US"/>
        </w:rPr>
        <w:t>الفصل</w:t>
      </w:r>
      <w:proofErr w:type="gramEnd"/>
      <w:r w:rsidRPr="00AE5A82">
        <w:rPr>
          <w:rFonts w:ascii="Arial" w:eastAsia="Calibri" w:hAnsi="Arial" w:cs="Arial"/>
          <w:b/>
          <w:bCs/>
          <w:color w:val="000000"/>
          <w:shd w:val="clear" w:color="auto" w:fill="FFFFFF"/>
          <w:rtl/>
          <w:lang w:eastAsia="en-US"/>
        </w:rPr>
        <w:t xml:space="preserve"> 261 (فقرة رابعة وفقرة خامسة)</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وعلى كاتب المحكمة التي أصدرت الحكم المطعون فيه استدعاء الطاعن أو محاميه حسب الحالة بالطريقة الإدارية وتسليمه نسخة من الحكم المطعون فيه مقابل وصل يتضمن تاريخ التسليم يضيفه إلى ملف القضية</w:t>
      </w:r>
      <w:r w:rsidRPr="00AE5A82">
        <w:rPr>
          <w:rFonts w:ascii="Arial" w:eastAsia="Calibri" w:hAnsi="Arial" w:cs="Arial"/>
          <w:color w:val="000000"/>
          <w:shd w:val="clear" w:color="auto" w:fill="FFFFFF"/>
          <w:lang w:eastAsia="en-US"/>
        </w:rPr>
        <w:t>.</w:t>
      </w:r>
    </w:p>
    <w:p w14:paraId="2FA8617F"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color w:val="000000"/>
          <w:shd w:val="clear" w:color="auto" w:fill="FFFFFF"/>
          <w:rtl/>
          <w:lang w:eastAsia="en-US"/>
        </w:rPr>
        <w:t>وإذا لم يحضر الطاعن أو محاميه لتسلم نسخة الحكم المطعون فيه في أجل شهر من تاريخ استدعائه بأية وسيلة تترك أثرا كتابيا وتخلف عن تقديم مستندات التعقيب سقط الطعن</w:t>
      </w:r>
      <w:r w:rsidRPr="00AE5A82">
        <w:rPr>
          <w:rFonts w:ascii="Arial" w:eastAsia="Calibri" w:hAnsi="Arial" w:cs="Arial"/>
          <w:color w:val="000000"/>
          <w:shd w:val="clear" w:color="auto" w:fill="FFFFFF"/>
          <w:lang w:eastAsia="en-US"/>
        </w:rPr>
        <w:t>.</w:t>
      </w:r>
    </w:p>
    <w:p w14:paraId="69B10067"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365 (فقرة قبل الأخيرة)</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ولا تشتمل البطاقة عدد 3 على الأحكام القضائية بالسجن لمدة لا تتجاوز ستة أشهر أو بالخطية التي لا يتجاوز مقدارها ألف دينار إلا إذا نص الحكم على خلاف ذلك أو حصل خلال الخمسة أعوام الموالية تتبع عقبه حكم بالإدانة</w:t>
      </w:r>
      <w:r w:rsidRPr="00AE5A82">
        <w:rPr>
          <w:rFonts w:ascii="Arial" w:eastAsia="Calibri" w:hAnsi="Arial" w:cs="Arial"/>
          <w:color w:val="000000"/>
          <w:shd w:val="clear" w:color="auto" w:fill="FFFFFF"/>
          <w:lang w:eastAsia="en-US"/>
        </w:rPr>
        <w:t>.</w:t>
      </w:r>
    </w:p>
    <w:p w14:paraId="46696342"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3</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تلغى أحكام الفصل 263 مكرر وأحكام العدد 1 من الفقرة الأولى من الفصل 367 والأعداد 1 و2 و3 من الفقرة الأولى من الفصل 369 مكرر من مجلة الإجراءات الجزائية وتعوّض بالأحكام التالية</w:t>
      </w:r>
      <w:r w:rsidRPr="00AE5A82">
        <w:rPr>
          <w:rFonts w:ascii="Arial" w:eastAsia="Calibri" w:hAnsi="Arial" w:cs="Arial" w:hint="cs"/>
          <w:color w:val="000000"/>
          <w:shd w:val="clear" w:color="auto" w:fill="FFFFFF"/>
          <w:rtl/>
          <w:lang w:eastAsia="en-US"/>
        </w:rPr>
        <w:t>:</w:t>
      </w:r>
    </w:p>
    <w:p w14:paraId="5411ADC5"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b/>
          <w:bCs/>
          <w:color w:val="000000"/>
          <w:shd w:val="clear" w:color="auto" w:fill="FFFFFF"/>
          <w:rtl/>
          <w:lang w:eastAsia="en-US"/>
        </w:rPr>
        <w:t>الفصل</w:t>
      </w:r>
      <w:proofErr w:type="gramEnd"/>
      <w:r w:rsidRPr="00AE5A82">
        <w:rPr>
          <w:rFonts w:ascii="Arial" w:eastAsia="Calibri" w:hAnsi="Arial" w:cs="Arial"/>
          <w:b/>
          <w:bCs/>
          <w:color w:val="000000"/>
          <w:shd w:val="clear" w:color="auto" w:fill="FFFFFF"/>
          <w:rtl/>
          <w:lang w:eastAsia="en-US"/>
        </w:rPr>
        <w:t xml:space="preserve"> 263 مكرر (جديد)</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باستثناء النيابة العمومية على محامي الطاعن أن يقدم إلى كتابة محكمة التعقيب في أجل أقصاه ثلاثون يوما من تاريخ تسلمه نسخة من الحكم المطعون فيه من كتابة المحكمة التي أصدرته ما يأتي وإلا سقط الطعن</w:t>
      </w:r>
      <w:r w:rsidRPr="00AE5A82">
        <w:rPr>
          <w:rFonts w:ascii="Arial" w:eastAsia="Calibri" w:hAnsi="Arial" w:cs="Arial" w:hint="cs"/>
          <w:color w:val="000000"/>
          <w:shd w:val="clear" w:color="auto" w:fill="FFFFFF"/>
          <w:rtl/>
          <w:lang w:eastAsia="en-US"/>
        </w:rPr>
        <w:t>:</w:t>
      </w:r>
    </w:p>
    <w:p w14:paraId="454453C1" w14:textId="77777777" w:rsidR="00AE5A82" w:rsidRPr="00AE5A82" w:rsidRDefault="00AE5A82" w:rsidP="00AE5A82">
      <w:pPr>
        <w:numPr>
          <w:ilvl w:val="0"/>
          <w:numId w:val="14"/>
        </w:numPr>
        <w:bidi/>
        <w:spacing w:before="100" w:beforeAutospacing="1" w:after="0"/>
        <w:ind w:left="1494"/>
        <w:contextualSpacing/>
        <w:jc w:val="both"/>
        <w:rPr>
          <w:rFonts w:ascii="Arial" w:eastAsia="Calibri" w:hAnsi="Arial" w:cs="Arial" w:hint="cs"/>
          <w:color w:val="000000"/>
          <w:shd w:val="clear" w:color="auto" w:fill="FFFFFF"/>
          <w:lang w:eastAsia="en-US"/>
        </w:rPr>
      </w:pPr>
      <w:r w:rsidRPr="00AE5A82">
        <w:rPr>
          <w:rFonts w:ascii="Arial" w:eastAsia="Calibri" w:hAnsi="Arial" w:cs="Arial"/>
          <w:color w:val="000000"/>
          <w:shd w:val="clear" w:color="auto" w:fill="FFFFFF"/>
          <w:rtl/>
          <w:lang w:eastAsia="en-US"/>
        </w:rPr>
        <w:t>مذكرة في أسباب الطعن تبيّن الإخلالات المنسوبة للحكم المطعون فيه،</w:t>
      </w:r>
    </w:p>
    <w:p w14:paraId="694DF03F" w14:textId="77777777" w:rsidR="00AE5A82" w:rsidRPr="00AE5A82" w:rsidRDefault="00AE5A82" w:rsidP="00AE5A82">
      <w:pPr>
        <w:numPr>
          <w:ilvl w:val="0"/>
          <w:numId w:val="14"/>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AE5A82">
        <w:rPr>
          <w:rFonts w:ascii="Arial" w:eastAsia="Calibri" w:hAnsi="Arial" w:cs="Arial"/>
          <w:color w:val="000000"/>
          <w:shd w:val="clear" w:color="auto" w:fill="FFFFFF"/>
          <w:rtl/>
          <w:lang w:eastAsia="en-US"/>
        </w:rPr>
        <w:t>نسخة</w:t>
      </w:r>
      <w:proofErr w:type="gramEnd"/>
      <w:r w:rsidRPr="00AE5A82">
        <w:rPr>
          <w:rFonts w:ascii="Arial" w:eastAsia="Calibri" w:hAnsi="Arial" w:cs="Arial"/>
          <w:color w:val="000000"/>
          <w:shd w:val="clear" w:color="auto" w:fill="FFFFFF"/>
          <w:rtl/>
          <w:lang w:eastAsia="en-US"/>
        </w:rPr>
        <w:t xml:space="preserve"> من محضر إبلاغ مذكرة الطعن بواسطة عدل منفذ إلى المعقب ضدهم باستثناء النيابة العمومية</w:t>
      </w:r>
      <w:r w:rsidRPr="00AE5A82">
        <w:rPr>
          <w:rFonts w:ascii="Arial" w:eastAsia="Calibri" w:hAnsi="Arial" w:cs="Arial"/>
          <w:color w:val="000000"/>
          <w:shd w:val="clear" w:color="auto" w:fill="FFFFFF"/>
          <w:lang w:eastAsia="en-US"/>
        </w:rPr>
        <w:t>.</w:t>
      </w:r>
    </w:p>
    <w:p w14:paraId="6E06989F"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color w:val="000000"/>
          <w:shd w:val="clear" w:color="auto" w:fill="FFFFFF"/>
          <w:rtl/>
          <w:lang w:eastAsia="en-US"/>
        </w:rPr>
        <w:t>وإذا</w:t>
      </w:r>
      <w:proofErr w:type="gramEnd"/>
      <w:r w:rsidRPr="00AE5A82">
        <w:rPr>
          <w:rFonts w:ascii="Arial" w:eastAsia="Calibri" w:hAnsi="Arial" w:cs="Arial"/>
          <w:color w:val="000000"/>
          <w:shd w:val="clear" w:color="auto" w:fill="FFFFFF"/>
          <w:rtl/>
          <w:lang w:eastAsia="en-US"/>
        </w:rPr>
        <w:t xml:space="preserve"> رغب المعقب ضده في الرد على مستندات الطعن وجب عليه أن يقدم مذكرة في ذلك إلى كتابة محكمة التعقيب خلال أجل أقصاه ثلاثون يوما من تاريخ إبلاغه مستندات الطعن</w:t>
      </w:r>
      <w:r w:rsidRPr="00AE5A82">
        <w:rPr>
          <w:rFonts w:ascii="Arial" w:eastAsia="Calibri" w:hAnsi="Arial" w:cs="Arial"/>
          <w:color w:val="000000"/>
          <w:shd w:val="clear" w:color="auto" w:fill="FFFFFF"/>
          <w:lang w:eastAsia="en-US"/>
        </w:rPr>
        <w:t>.</w:t>
      </w:r>
    </w:p>
    <w:p w14:paraId="0E19EFA5"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color w:val="000000"/>
          <w:shd w:val="clear" w:color="auto" w:fill="FFFFFF"/>
          <w:rtl/>
          <w:lang w:eastAsia="en-US"/>
        </w:rPr>
        <w:t>وتباشر الإجراءات المبيّنة بالفقرات المتقدمة بواسطة محام</w:t>
      </w:r>
      <w:r w:rsidRPr="00AE5A82">
        <w:rPr>
          <w:rFonts w:ascii="Arial" w:eastAsia="Calibri" w:hAnsi="Arial" w:cs="Arial"/>
          <w:color w:val="000000"/>
          <w:shd w:val="clear" w:color="auto" w:fill="FFFFFF"/>
          <w:lang w:eastAsia="en-US"/>
        </w:rPr>
        <w:t>.</w:t>
      </w:r>
    </w:p>
    <w:p w14:paraId="140B455E" w14:textId="77777777" w:rsidR="00AE5A82" w:rsidRPr="00AE5A82" w:rsidRDefault="00AE5A82" w:rsidP="00AE5A82">
      <w:pPr>
        <w:bidi/>
        <w:spacing w:before="100" w:beforeAutospacing="1" w:after="0"/>
        <w:ind w:left="283"/>
        <w:jc w:val="both"/>
        <w:rPr>
          <w:rFonts w:ascii="Arial" w:eastAsia="Calibri" w:hAnsi="Arial" w:cs="Arial" w:hint="cs"/>
          <w:b/>
          <w:bCs/>
          <w:color w:val="000000"/>
          <w:shd w:val="clear" w:color="auto" w:fill="FFFFFF"/>
          <w:rtl/>
          <w:lang w:eastAsia="en-US"/>
        </w:rPr>
      </w:pPr>
      <w:r w:rsidRPr="00AE5A82">
        <w:rPr>
          <w:rFonts w:ascii="Arial" w:eastAsia="Calibri" w:hAnsi="Arial" w:cs="Arial"/>
          <w:b/>
          <w:bCs/>
          <w:color w:val="000000"/>
          <w:shd w:val="clear" w:color="auto" w:fill="FFFFFF"/>
          <w:rtl/>
          <w:lang w:eastAsia="en-US"/>
        </w:rPr>
        <w:t xml:space="preserve">الفصل 367 (عدد 1 </w:t>
      </w:r>
      <w:proofErr w:type="gramStart"/>
      <w:r w:rsidRPr="00AE5A82">
        <w:rPr>
          <w:rFonts w:ascii="Arial" w:eastAsia="Calibri" w:hAnsi="Arial" w:cs="Arial"/>
          <w:b/>
          <w:bCs/>
          <w:color w:val="000000"/>
          <w:shd w:val="clear" w:color="auto" w:fill="FFFFFF"/>
          <w:rtl/>
          <w:lang w:eastAsia="en-US"/>
        </w:rPr>
        <w:t>جديد</w:t>
      </w:r>
      <w:proofErr w:type="gramEnd"/>
      <w:r w:rsidRPr="00AE5A82">
        <w:rPr>
          <w:rFonts w:ascii="Arial" w:eastAsia="Calibri" w:hAnsi="Arial" w:cs="Arial"/>
          <w:b/>
          <w:bCs/>
          <w:color w:val="000000"/>
          <w:shd w:val="clear" w:color="auto" w:fill="FFFFFF"/>
          <w:rtl/>
          <w:lang w:eastAsia="en-US"/>
        </w:rPr>
        <w:t xml:space="preserve"> من الفقرة الأولى</w:t>
      </w:r>
      <w:r w:rsidRPr="00AE5A82">
        <w:rPr>
          <w:rFonts w:ascii="Arial" w:eastAsia="Calibri" w:hAnsi="Arial" w:cs="Arial" w:hint="cs"/>
          <w:b/>
          <w:bCs/>
          <w:color w:val="000000"/>
          <w:shd w:val="clear" w:color="auto" w:fill="FFFFFF"/>
          <w:rtl/>
          <w:lang w:eastAsia="en-US"/>
        </w:rPr>
        <w:t xml:space="preserve">) – </w:t>
      </w:r>
    </w:p>
    <w:p w14:paraId="0F70D203" w14:textId="77777777" w:rsidR="00AE5A82" w:rsidRPr="00AE5A82" w:rsidRDefault="00AE5A82" w:rsidP="00AE5A82">
      <w:pPr>
        <w:numPr>
          <w:ilvl w:val="0"/>
          <w:numId w:val="15"/>
        </w:numPr>
        <w:bidi/>
        <w:spacing w:before="100" w:beforeAutospacing="1" w:after="0"/>
        <w:ind w:left="1551"/>
        <w:contextualSpacing/>
        <w:jc w:val="both"/>
        <w:rPr>
          <w:rFonts w:ascii="Arial" w:eastAsia="Calibri" w:hAnsi="Arial" w:cs="Arial" w:hint="cs"/>
          <w:color w:val="000000"/>
          <w:shd w:val="clear" w:color="auto" w:fill="FFFFFF"/>
          <w:lang w:eastAsia="en-US"/>
        </w:rPr>
      </w:pPr>
      <w:r w:rsidRPr="00AE5A82">
        <w:rPr>
          <w:rFonts w:ascii="Arial" w:eastAsia="Calibri" w:hAnsi="Arial" w:cs="Arial"/>
          <w:color w:val="000000"/>
          <w:shd w:val="clear" w:color="auto" w:fill="FFFFFF"/>
          <w:rtl/>
          <w:lang w:eastAsia="en-US"/>
        </w:rPr>
        <w:t>أن يمضي من تاريخ قضاء العقاب أو سقوطه بمرور الزمن أو صدور عفو بشأنه عامان إذا كان العقاب المحكوم به جنائيا أو ستة أشهر إذا كان ذلك العقاب جناحيا</w:t>
      </w:r>
      <w:r w:rsidRPr="00AE5A82">
        <w:rPr>
          <w:rFonts w:ascii="Arial" w:eastAsia="Calibri" w:hAnsi="Arial" w:cs="Arial"/>
          <w:color w:val="000000"/>
          <w:shd w:val="clear" w:color="auto" w:fill="FFFFFF"/>
          <w:lang w:eastAsia="en-US"/>
        </w:rPr>
        <w:t>.</w:t>
      </w:r>
    </w:p>
    <w:p w14:paraId="76356CAB"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E5A82">
        <w:rPr>
          <w:rFonts w:ascii="Arial" w:eastAsia="Calibri" w:hAnsi="Arial" w:cs="Arial"/>
          <w:color w:val="000000"/>
          <w:shd w:val="clear" w:color="auto" w:fill="FFFFFF"/>
          <w:rtl/>
          <w:lang w:eastAsia="en-US"/>
        </w:rPr>
        <w:t>وإذا</w:t>
      </w:r>
      <w:proofErr w:type="gramEnd"/>
      <w:r w:rsidRPr="00AE5A82">
        <w:rPr>
          <w:rFonts w:ascii="Arial" w:eastAsia="Calibri" w:hAnsi="Arial" w:cs="Arial"/>
          <w:color w:val="000000"/>
          <w:shd w:val="clear" w:color="auto" w:fill="FFFFFF"/>
          <w:rtl/>
          <w:lang w:eastAsia="en-US"/>
        </w:rPr>
        <w:t xml:space="preserve"> كان المحكوم عليه في حالة عود قانوني أو سبق أن تمتع باسترداد الحقوق فإن الأجل يرفع إلى ضعفه</w:t>
      </w:r>
      <w:r w:rsidRPr="00AE5A82">
        <w:rPr>
          <w:rFonts w:ascii="Arial" w:eastAsia="Calibri" w:hAnsi="Arial" w:cs="Arial"/>
          <w:color w:val="000000"/>
          <w:shd w:val="clear" w:color="auto" w:fill="FFFFFF"/>
          <w:lang w:eastAsia="en-US"/>
        </w:rPr>
        <w:t>.</w:t>
      </w:r>
    </w:p>
    <w:p w14:paraId="7A96C312" w14:textId="77777777" w:rsidR="00AE5A82" w:rsidRPr="00AE5A82" w:rsidRDefault="00AE5A82" w:rsidP="00AE5A82">
      <w:pPr>
        <w:bidi/>
        <w:spacing w:before="100" w:beforeAutospacing="1" w:after="0"/>
        <w:ind w:left="283"/>
        <w:jc w:val="both"/>
        <w:rPr>
          <w:rFonts w:ascii="Arial" w:eastAsia="Calibri" w:hAnsi="Arial" w:cs="Arial" w:hint="cs"/>
          <w:b/>
          <w:bCs/>
          <w:color w:val="000000"/>
          <w:shd w:val="clear" w:color="auto" w:fill="FFFFFF"/>
          <w:rtl/>
          <w:lang w:eastAsia="en-US"/>
        </w:rPr>
      </w:pPr>
      <w:r w:rsidRPr="00AE5A82">
        <w:rPr>
          <w:rFonts w:ascii="Arial" w:eastAsia="Calibri" w:hAnsi="Arial" w:cs="Arial"/>
          <w:b/>
          <w:bCs/>
          <w:color w:val="000000"/>
          <w:shd w:val="clear" w:color="auto" w:fill="FFFFFF"/>
          <w:rtl/>
          <w:lang w:eastAsia="en-US"/>
        </w:rPr>
        <w:t xml:space="preserve">الفصل 369 </w:t>
      </w:r>
      <w:proofErr w:type="gramStart"/>
      <w:r w:rsidRPr="00AE5A82">
        <w:rPr>
          <w:rFonts w:ascii="Arial" w:eastAsia="Calibri" w:hAnsi="Arial" w:cs="Arial"/>
          <w:b/>
          <w:bCs/>
          <w:color w:val="000000"/>
          <w:shd w:val="clear" w:color="auto" w:fill="FFFFFF"/>
          <w:rtl/>
          <w:lang w:eastAsia="en-US"/>
        </w:rPr>
        <w:t>مكرر</w:t>
      </w:r>
      <w:proofErr w:type="gramEnd"/>
      <w:r w:rsidRPr="00AE5A82">
        <w:rPr>
          <w:rFonts w:ascii="Arial" w:eastAsia="Calibri" w:hAnsi="Arial" w:cs="Arial"/>
          <w:b/>
          <w:bCs/>
          <w:color w:val="000000"/>
          <w:shd w:val="clear" w:color="auto" w:fill="FFFFFF"/>
          <w:rtl/>
          <w:lang w:eastAsia="en-US"/>
        </w:rPr>
        <w:t xml:space="preserve"> (الأعداد 1 و2 و3 جديدة من الفقرة الأولى</w:t>
      </w:r>
      <w:r w:rsidRPr="00AE5A82">
        <w:rPr>
          <w:rFonts w:ascii="Arial" w:eastAsia="Calibri" w:hAnsi="Arial" w:cs="Arial" w:hint="cs"/>
          <w:b/>
          <w:bCs/>
          <w:color w:val="000000"/>
          <w:shd w:val="clear" w:color="auto" w:fill="FFFFFF"/>
          <w:rtl/>
          <w:lang w:eastAsia="en-US"/>
        </w:rPr>
        <w:t xml:space="preserve">) – </w:t>
      </w:r>
    </w:p>
    <w:p w14:paraId="04C67969" w14:textId="77777777" w:rsidR="00AE5A82" w:rsidRPr="00AE5A82" w:rsidRDefault="00AE5A82" w:rsidP="00AE5A82">
      <w:pPr>
        <w:numPr>
          <w:ilvl w:val="0"/>
          <w:numId w:val="16"/>
        </w:numPr>
        <w:bidi/>
        <w:spacing w:before="100" w:beforeAutospacing="1" w:after="0"/>
        <w:contextualSpacing/>
        <w:jc w:val="both"/>
        <w:rPr>
          <w:rFonts w:ascii="Arial" w:eastAsia="Calibri" w:hAnsi="Arial" w:cs="Arial" w:hint="cs"/>
          <w:color w:val="000000"/>
          <w:shd w:val="clear" w:color="auto" w:fill="FFFFFF"/>
          <w:lang w:eastAsia="en-US"/>
        </w:rPr>
      </w:pPr>
      <w:proofErr w:type="gramStart"/>
      <w:r w:rsidRPr="00AE5A82">
        <w:rPr>
          <w:rFonts w:ascii="Arial" w:eastAsia="Calibri" w:hAnsi="Arial" w:cs="Arial"/>
          <w:color w:val="000000"/>
          <w:shd w:val="clear" w:color="auto" w:fill="FFFFFF"/>
          <w:rtl/>
          <w:lang w:eastAsia="en-US"/>
        </w:rPr>
        <w:t>بخصوص</w:t>
      </w:r>
      <w:proofErr w:type="gramEnd"/>
      <w:r w:rsidRPr="00AE5A82">
        <w:rPr>
          <w:rFonts w:ascii="Arial" w:eastAsia="Calibri" w:hAnsi="Arial" w:cs="Arial"/>
          <w:color w:val="000000"/>
          <w:shd w:val="clear" w:color="auto" w:fill="FFFFFF"/>
          <w:rtl/>
          <w:lang w:eastAsia="en-US"/>
        </w:rPr>
        <w:t xml:space="preserve"> العقاب بالخطية بعد مضي عام واحد من تاريخ دفعها أو انقضاء مدة الجبر بالسجن أو سقوطها بمرور الزمن،</w:t>
      </w:r>
    </w:p>
    <w:p w14:paraId="4D2C6BF6" w14:textId="77777777" w:rsidR="00AE5A82" w:rsidRPr="00AE5A82" w:rsidRDefault="00AE5A82" w:rsidP="00AE5A82">
      <w:pPr>
        <w:numPr>
          <w:ilvl w:val="0"/>
          <w:numId w:val="16"/>
        </w:numPr>
        <w:bidi/>
        <w:spacing w:before="100" w:beforeAutospacing="1" w:after="0"/>
        <w:contextualSpacing/>
        <w:jc w:val="both"/>
        <w:rPr>
          <w:rFonts w:ascii="Arial" w:eastAsia="Calibri" w:hAnsi="Arial" w:cs="Arial" w:hint="cs"/>
          <w:color w:val="000000"/>
          <w:shd w:val="clear" w:color="auto" w:fill="FFFFFF"/>
          <w:lang w:eastAsia="en-US"/>
        </w:rPr>
      </w:pPr>
      <w:proofErr w:type="gramStart"/>
      <w:r w:rsidRPr="00AE5A82">
        <w:rPr>
          <w:rFonts w:ascii="Arial" w:eastAsia="Calibri" w:hAnsi="Arial" w:cs="Arial"/>
          <w:color w:val="000000"/>
          <w:shd w:val="clear" w:color="auto" w:fill="FFFFFF"/>
          <w:rtl/>
          <w:lang w:eastAsia="en-US"/>
        </w:rPr>
        <w:t>بخصوص</w:t>
      </w:r>
      <w:proofErr w:type="gramEnd"/>
      <w:r w:rsidRPr="00AE5A82">
        <w:rPr>
          <w:rFonts w:ascii="Arial" w:eastAsia="Calibri" w:hAnsi="Arial" w:cs="Arial"/>
          <w:color w:val="000000"/>
          <w:shd w:val="clear" w:color="auto" w:fill="FFFFFF"/>
          <w:rtl/>
          <w:lang w:eastAsia="en-US"/>
        </w:rPr>
        <w:t xml:space="preserve"> العقاب بالسجن من أجل جنحة، بعد مضي عامين اثنين من تاريخ قضائه أو سقوطه بمرور الزمن،</w:t>
      </w:r>
    </w:p>
    <w:p w14:paraId="3C36ACC3" w14:textId="77777777" w:rsidR="00AE5A82" w:rsidRPr="00AE5A82" w:rsidRDefault="00AE5A82" w:rsidP="00AE5A82">
      <w:pPr>
        <w:numPr>
          <w:ilvl w:val="0"/>
          <w:numId w:val="16"/>
        </w:numPr>
        <w:bidi/>
        <w:spacing w:before="100" w:beforeAutospacing="1" w:after="0"/>
        <w:contextualSpacing/>
        <w:jc w:val="both"/>
        <w:rPr>
          <w:rFonts w:ascii="Arial" w:eastAsia="Calibri" w:hAnsi="Arial" w:cs="Arial" w:hint="cs"/>
          <w:color w:val="000000"/>
          <w:shd w:val="clear" w:color="auto" w:fill="FFFFFF"/>
          <w:lang w:eastAsia="en-US"/>
        </w:rPr>
      </w:pPr>
      <w:proofErr w:type="gramStart"/>
      <w:r w:rsidRPr="00AE5A82">
        <w:rPr>
          <w:rFonts w:ascii="Arial" w:eastAsia="Calibri" w:hAnsi="Arial" w:cs="Arial"/>
          <w:color w:val="000000"/>
          <w:shd w:val="clear" w:color="auto" w:fill="FFFFFF"/>
          <w:rtl/>
          <w:lang w:eastAsia="en-US"/>
        </w:rPr>
        <w:t>بخصوص</w:t>
      </w:r>
      <w:proofErr w:type="gramEnd"/>
      <w:r w:rsidRPr="00AE5A82">
        <w:rPr>
          <w:rFonts w:ascii="Arial" w:eastAsia="Calibri" w:hAnsi="Arial" w:cs="Arial"/>
          <w:color w:val="000000"/>
          <w:shd w:val="clear" w:color="auto" w:fill="FFFFFF"/>
          <w:rtl/>
          <w:lang w:eastAsia="en-US"/>
        </w:rPr>
        <w:t xml:space="preserve"> العقاب بالسجن من أجل جناية، بعد مضي خمسة أعوام من تاريخ قضائه أو سقوطه بمرور الزمن</w:t>
      </w:r>
      <w:r w:rsidRPr="00AE5A82">
        <w:rPr>
          <w:rFonts w:ascii="Arial" w:eastAsia="Calibri" w:hAnsi="Arial" w:cs="Arial"/>
          <w:color w:val="000000"/>
          <w:shd w:val="clear" w:color="auto" w:fill="FFFFFF"/>
          <w:lang w:eastAsia="en-US"/>
        </w:rPr>
        <w:t>.</w:t>
      </w:r>
    </w:p>
    <w:p w14:paraId="188E7A00"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b/>
          <w:bCs/>
          <w:color w:val="000000"/>
          <w:shd w:val="clear" w:color="auto" w:fill="FFFFFF"/>
          <w:rtl/>
          <w:lang w:eastAsia="en-US"/>
        </w:rPr>
        <w:t>الفصل 4</w:t>
      </w:r>
      <w:r w:rsidRPr="00AE5A82">
        <w:rPr>
          <w:rFonts w:ascii="Arial" w:eastAsia="Calibri" w:hAnsi="Arial" w:cs="Arial" w:hint="cs"/>
          <w:b/>
          <w:bCs/>
          <w:color w:val="000000"/>
          <w:shd w:val="clear" w:color="auto" w:fill="FFFFFF"/>
          <w:rtl/>
          <w:lang w:eastAsia="en-US"/>
        </w:rPr>
        <w:t xml:space="preserve"> –</w:t>
      </w:r>
      <w:r w:rsidRPr="00AE5A82">
        <w:rPr>
          <w:rFonts w:ascii="Arial" w:eastAsia="Calibri" w:hAnsi="Arial" w:cs="Arial" w:hint="cs"/>
          <w:color w:val="000000"/>
          <w:shd w:val="clear" w:color="auto" w:fill="FFFFFF"/>
          <w:rtl/>
          <w:lang w:eastAsia="en-US"/>
        </w:rPr>
        <w:t xml:space="preserve"> </w:t>
      </w:r>
      <w:r w:rsidRPr="00AE5A82">
        <w:rPr>
          <w:rFonts w:ascii="Arial" w:eastAsia="Calibri" w:hAnsi="Arial" w:cs="Arial"/>
          <w:color w:val="000000"/>
          <w:shd w:val="clear" w:color="auto" w:fill="FFFFFF"/>
          <w:rtl/>
          <w:lang w:eastAsia="en-US"/>
        </w:rPr>
        <w:t>تطبق الإجراءات المعينة بالفصل 263 مكرر على الطعون الواقعة بعد ستين يوما من دخول هذا القانون حيز التنفيذ</w:t>
      </w:r>
      <w:r w:rsidRPr="00AE5A82">
        <w:rPr>
          <w:rFonts w:ascii="Arial" w:eastAsia="Calibri" w:hAnsi="Arial" w:cs="Arial"/>
          <w:color w:val="000000"/>
          <w:shd w:val="clear" w:color="auto" w:fill="FFFFFF"/>
          <w:lang w:eastAsia="en-US"/>
        </w:rPr>
        <w:t>.</w:t>
      </w:r>
    </w:p>
    <w:p w14:paraId="2CEB1E94" w14:textId="77777777" w:rsidR="00AE5A82" w:rsidRPr="00AE5A82" w:rsidRDefault="00AE5A82" w:rsidP="00AE5A82">
      <w:pPr>
        <w:bidi/>
        <w:spacing w:before="100" w:beforeAutospacing="1" w:after="0"/>
        <w:ind w:left="283"/>
        <w:jc w:val="both"/>
        <w:rPr>
          <w:rFonts w:ascii="Arial" w:eastAsia="Calibri" w:hAnsi="Arial" w:cs="Arial" w:hint="cs"/>
          <w:color w:val="000000"/>
          <w:shd w:val="clear" w:color="auto" w:fill="FFFFFF"/>
          <w:rtl/>
          <w:lang w:eastAsia="en-US"/>
        </w:rPr>
      </w:pPr>
      <w:r w:rsidRPr="00AE5A82">
        <w:rPr>
          <w:rFonts w:ascii="Arial" w:eastAsia="Calibri" w:hAnsi="Arial" w:cs="Arial"/>
          <w:color w:val="000000"/>
          <w:shd w:val="clear" w:color="auto" w:fill="FFFFFF"/>
          <w:rtl/>
          <w:lang w:eastAsia="en-US"/>
        </w:rPr>
        <w:t>ينشر هذا القانون بالرائد الرسمي للجمهورية التونسية وينفذ كقانون من قوانين الدولة</w:t>
      </w:r>
      <w:r w:rsidRPr="00AE5A82">
        <w:rPr>
          <w:rFonts w:ascii="Arial" w:eastAsia="Calibri" w:hAnsi="Arial" w:cs="Arial"/>
          <w:color w:val="000000"/>
          <w:shd w:val="clear" w:color="auto" w:fill="FFFFFF"/>
          <w:lang w:eastAsia="en-US"/>
        </w:rPr>
        <w:t>.</w:t>
      </w:r>
    </w:p>
    <w:p w14:paraId="5300DFAB" w14:textId="77777777" w:rsidR="00AE5A82" w:rsidRPr="00AE5A82" w:rsidRDefault="00AE5A82" w:rsidP="00AE5A82">
      <w:pPr>
        <w:bidi/>
        <w:spacing w:before="100" w:beforeAutospacing="1" w:after="0"/>
        <w:ind w:left="283"/>
        <w:jc w:val="both"/>
        <w:rPr>
          <w:rFonts w:ascii="Arial" w:eastAsia="Calibri" w:hAnsi="Arial" w:cs="Arial"/>
          <w:b/>
          <w:bCs/>
          <w:color w:val="000000"/>
          <w:shd w:val="clear" w:color="auto" w:fill="FFFFFF"/>
          <w:lang w:eastAsia="en-US"/>
        </w:rPr>
      </w:pPr>
      <w:r w:rsidRPr="00AE5A82">
        <w:rPr>
          <w:rFonts w:ascii="Arial" w:eastAsia="Calibri" w:hAnsi="Arial" w:cs="Arial"/>
          <w:b/>
          <w:bCs/>
          <w:color w:val="000000"/>
          <w:shd w:val="clear" w:color="auto" w:fill="FFFFFF"/>
          <w:rtl/>
          <w:lang w:eastAsia="en-US"/>
        </w:rPr>
        <w:t>تونس في 11 ديسمبر 2008</w:t>
      </w:r>
      <w:r w:rsidRPr="00AE5A82">
        <w:rPr>
          <w:rFonts w:ascii="Arial" w:eastAsia="Calibri" w:hAnsi="Arial" w:cs="Arial"/>
          <w:b/>
          <w:bCs/>
          <w:color w:val="000000"/>
          <w:shd w:val="clear" w:color="auto" w:fill="FFFFFF"/>
          <w:lang w:eastAsia="en-US"/>
        </w:rPr>
        <w:t>.</w:t>
      </w:r>
    </w:p>
    <w:p w14:paraId="59A3D800" w14:textId="367C4CC0" w:rsidR="00214CFF" w:rsidRPr="0096177C" w:rsidRDefault="00214CFF" w:rsidP="00AE5A82">
      <w:pPr>
        <w:bidi/>
        <w:spacing w:before="100" w:beforeAutospacing="1" w:after="0"/>
        <w:ind w:left="283"/>
        <w:jc w:val="both"/>
        <w:rPr>
          <w:rFonts w:ascii="Arial" w:eastAsia="Times New Roman" w:hAnsi="Arial" w:cs="Arial"/>
          <w:lang w:bidi="ar-TN"/>
        </w:rPr>
      </w:pPr>
    </w:p>
    <w:sectPr w:rsidR="00214CFF" w:rsidRPr="0096177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49518F" w:rsidRDefault="0049518F" w:rsidP="008F3F2D">
      <w:r>
        <w:separator/>
      </w:r>
    </w:p>
  </w:endnote>
  <w:endnote w:type="continuationSeparator" w:id="0">
    <w:p w14:paraId="29B72AF3" w14:textId="77777777" w:rsidR="0049518F" w:rsidRDefault="0049518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49518F" w:rsidRPr="00C64B86" w:rsidRDefault="0049518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49518F" w:rsidRPr="00A00644" w:rsidRDefault="0049518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5A8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5A82">
                            <w:rPr>
                              <w:rFonts w:ascii="Arial" w:hAnsi="Arial" w:cs="Arial"/>
                              <w:noProof/>
                              <w:sz w:val="18"/>
                              <w:szCs w:val="18"/>
                            </w:rPr>
                            <w:t>2</w:t>
                          </w:r>
                          <w:r w:rsidRPr="001E5DD5">
                            <w:rPr>
                              <w:rFonts w:ascii="Arial" w:hAnsi="Arial" w:cs="Arial"/>
                              <w:noProof/>
                              <w:sz w:val="18"/>
                              <w:szCs w:val="18"/>
                            </w:rPr>
                            <w:fldChar w:fldCharType="end"/>
                          </w:r>
                        </w:p>
                        <w:p w14:paraId="75F5800F" w14:textId="77777777" w:rsidR="0049518F" w:rsidRDefault="0049518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49518F" w:rsidRPr="00A00644" w:rsidRDefault="0049518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5A8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5A82">
                      <w:rPr>
                        <w:rFonts w:ascii="Arial" w:hAnsi="Arial" w:cs="Arial"/>
                        <w:noProof/>
                        <w:sz w:val="18"/>
                        <w:szCs w:val="18"/>
                      </w:rPr>
                      <w:t>2</w:t>
                    </w:r>
                    <w:r w:rsidRPr="001E5DD5">
                      <w:rPr>
                        <w:rFonts w:ascii="Arial" w:hAnsi="Arial" w:cs="Arial"/>
                        <w:noProof/>
                        <w:sz w:val="18"/>
                        <w:szCs w:val="18"/>
                      </w:rPr>
                      <w:fldChar w:fldCharType="end"/>
                    </w:r>
                  </w:p>
                  <w:p w14:paraId="75F5800F" w14:textId="77777777" w:rsidR="0049518F" w:rsidRDefault="0049518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49518F" w:rsidRDefault="0049518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49518F" w:rsidRPr="00A00644" w:rsidRDefault="0049518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5A8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5A82">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49518F" w:rsidRPr="00A00644" w:rsidRDefault="0049518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5A8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5A82">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49518F" w:rsidRDefault="0049518F" w:rsidP="00696990">
      <w:pPr>
        <w:bidi/>
        <w:jc w:val="both"/>
      </w:pPr>
      <w:r>
        <w:separator/>
      </w:r>
    </w:p>
  </w:footnote>
  <w:footnote w:type="continuationSeparator" w:id="0">
    <w:p w14:paraId="79555107" w14:textId="77777777" w:rsidR="0049518F" w:rsidRDefault="0049518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49518F" w:rsidRDefault="0049518F">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49518F" w:rsidRDefault="0049518F" w:rsidP="0097472C">
                          <w:pPr>
                            <w:spacing w:after="0" w:line="240" w:lineRule="auto"/>
                            <w:ind w:left="567"/>
                            <w:rPr>
                              <w:rFonts w:ascii="Arial" w:eastAsia="Times New Roman" w:hAnsi="Arial" w:cs="Times New Roman"/>
                              <w:sz w:val="24"/>
                              <w:szCs w:val="24"/>
                            </w:rPr>
                          </w:pPr>
                        </w:p>
                        <w:p w14:paraId="62BF567A" w14:textId="77777777" w:rsidR="0049518F" w:rsidRPr="005F7BF4" w:rsidRDefault="0049518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49518F" w:rsidRPr="005F7BF4" w:rsidRDefault="0049518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49518F" w:rsidRDefault="0049518F" w:rsidP="0097472C">
                    <w:pPr>
                      <w:spacing w:after="0" w:line="240" w:lineRule="auto"/>
                      <w:ind w:left="567"/>
                      <w:rPr>
                        <w:rFonts w:ascii="Arial" w:eastAsia="Times New Roman" w:hAnsi="Arial" w:cs="Times New Roman"/>
                        <w:sz w:val="24"/>
                        <w:szCs w:val="24"/>
                      </w:rPr>
                    </w:pPr>
                  </w:p>
                  <w:p w14:paraId="62BF567A" w14:textId="77777777" w:rsidR="0049518F" w:rsidRPr="005F7BF4" w:rsidRDefault="0049518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49518F" w:rsidRPr="005F7BF4" w:rsidRDefault="0049518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49518F" w:rsidRDefault="0049518F">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49518F" w:rsidRDefault="0049518F" w:rsidP="0075404E">
                          <w:pPr>
                            <w:spacing w:after="0" w:line="20" w:lineRule="atLeast"/>
                            <w:ind w:left="567"/>
                            <w:rPr>
                              <w:rFonts w:ascii="Arial" w:eastAsia="Times New Roman" w:hAnsi="Arial" w:cs="Arial"/>
                              <w:sz w:val="24"/>
                              <w:szCs w:val="20"/>
                              <w:lang w:eastAsia="en-US"/>
                            </w:rPr>
                          </w:pPr>
                        </w:p>
                        <w:p w14:paraId="769732F9" w14:textId="77777777" w:rsidR="0049518F" w:rsidRPr="00696C4B" w:rsidRDefault="0049518F"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49518F" w:rsidRPr="00317C84" w:rsidRDefault="0049518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49518F" w:rsidRDefault="0049518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49518F" w:rsidRDefault="0049518F" w:rsidP="0075404E">
                    <w:pPr>
                      <w:spacing w:after="0" w:line="20" w:lineRule="atLeast"/>
                      <w:ind w:left="567"/>
                      <w:rPr>
                        <w:rFonts w:ascii="Arial" w:eastAsia="Times New Roman" w:hAnsi="Arial" w:cs="Arial"/>
                        <w:sz w:val="24"/>
                        <w:szCs w:val="20"/>
                        <w:lang w:eastAsia="en-US"/>
                      </w:rPr>
                    </w:pPr>
                  </w:p>
                  <w:p w14:paraId="769732F9" w14:textId="77777777" w:rsidR="0049518F" w:rsidRPr="00696C4B" w:rsidRDefault="0049518F"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49518F" w:rsidRPr="00317C84" w:rsidRDefault="0049518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49518F" w:rsidRDefault="0049518F"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195"/>
    <w:multiLevelType w:val="hybridMultilevel"/>
    <w:tmpl w:val="24A29C6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269C2"/>
    <w:multiLevelType w:val="hybridMultilevel"/>
    <w:tmpl w:val="ECD65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4C064171"/>
    <w:multiLevelType w:val="hybridMultilevel"/>
    <w:tmpl w:val="7C0653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411E6F"/>
    <w:multiLevelType w:val="hybridMultilevel"/>
    <w:tmpl w:val="5D34102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9065E31"/>
    <w:multiLevelType w:val="hybridMultilevel"/>
    <w:tmpl w:val="A4806B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0A0B5F"/>
    <w:multiLevelType w:val="hybridMultilevel"/>
    <w:tmpl w:val="DF9E59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146FA6"/>
    <w:multiLevelType w:val="hybridMultilevel"/>
    <w:tmpl w:val="F5C8B7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CF3B81"/>
    <w:multiLevelType w:val="hybridMultilevel"/>
    <w:tmpl w:val="27E01032"/>
    <w:lvl w:ilvl="0" w:tplc="94305E34">
      <w:start w:val="1"/>
      <w:numFmt w:val="arabicAbjad"/>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9"/>
  </w:num>
  <w:num w:numId="2">
    <w:abstractNumId w:val="6"/>
  </w:num>
  <w:num w:numId="3">
    <w:abstractNumId w:val="5"/>
  </w:num>
  <w:num w:numId="4">
    <w:abstractNumId w:val="2"/>
  </w:num>
  <w:num w:numId="5">
    <w:abstractNumId w:val="14"/>
  </w:num>
  <w:num w:numId="6">
    <w:abstractNumId w:val="4"/>
  </w:num>
  <w:num w:numId="7">
    <w:abstractNumId w:val="10"/>
  </w:num>
  <w:num w:numId="8">
    <w:abstractNumId w:val="3"/>
  </w:num>
  <w:num w:numId="9">
    <w:abstractNumId w:val="13"/>
  </w:num>
  <w:num w:numId="10">
    <w:abstractNumId w:val="0"/>
  </w:num>
  <w:num w:numId="11">
    <w:abstractNumId w:val="12"/>
  </w:num>
  <w:num w:numId="12">
    <w:abstractNumId w:val="15"/>
  </w:num>
  <w:num w:numId="13">
    <w:abstractNumId w:val="8"/>
  </w:num>
  <w:num w:numId="14">
    <w:abstractNumId w:val="1"/>
  </w:num>
  <w:num w:numId="15">
    <w:abstractNumId w:val="7"/>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03F6D"/>
    <w:rsid w:val="0049518F"/>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6177C"/>
    <w:rsid w:val="0097472C"/>
    <w:rsid w:val="00A00644"/>
    <w:rsid w:val="00A04F09"/>
    <w:rsid w:val="00A054EF"/>
    <w:rsid w:val="00A81D8F"/>
    <w:rsid w:val="00A90F21"/>
    <w:rsid w:val="00AD2268"/>
    <w:rsid w:val="00AE5A82"/>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numbering" w:customStyle="1" w:styleId="Aucuneliste2">
    <w:name w:val="Aucune liste2"/>
    <w:next w:val="Aucuneliste"/>
    <w:uiPriority w:val="99"/>
    <w:semiHidden/>
    <w:unhideWhenUsed/>
    <w:rsid w:val="00961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numbering" w:customStyle="1" w:styleId="Aucuneliste2">
    <w:name w:val="Aucune liste2"/>
    <w:next w:val="Aucuneliste"/>
    <w:uiPriority w:val="99"/>
    <w:semiHidden/>
    <w:unhideWhenUsed/>
    <w:rsid w:val="0096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2013-01-03T10:21:00Z</cp:lastPrinted>
  <dcterms:created xsi:type="dcterms:W3CDTF">2013-01-03T16:59:00Z</dcterms:created>
  <dcterms:modified xsi:type="dcterms:W3CDTF">2013-01-03T16:59:00Z</dcterms:modified>
</cp:coreProperties>
</file>