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ED01E0" w:rsidRDefault="00E953A2" w:rsidP="003040F9">
      <w:pPr>
        <w:bidi/>
        <w:rPr>
          <w:rFonts w:ascii="Arial" w:hAnsi="Arial" w:cs="Arial"/>
          <w:sz w:val="24"/>
          <w:szCs w:val="24"/>
        </w:rPr>
      </w:pPr>
    </w:p>
    <w:p w14:paraId="2DF3274E" w14:textId="08F5E122" w:rsidR="005B3DA1" w:rsidRPr="00D746FB" w:rsidRDefault="005B3DA1" w:rsidP="005B3DA1">
      <w:pPr>
        <w:bidi/>
        <w:spacing w:before="100" w:beforeAutospacing="1" w:after="0"/>
        <w:ind w:left="283"/>
        <w:jc w:val="both"/>
        <w:rPr>
          <w:rFonts w:ascii="Calibri" w:eastAsia="Calibri" w:hAnsi="Calibri" w:cs="Arial"/>
          <w:b/>
          <w:bCs/>
          <w:sz w:val="24"/>
          <w:szCs w:val="24"/>
          <w:rtl/>
          <w:lang w:eastAsia="en-US" w:bidi="ar-TN"/>
        </w:rPr>
      </w:pPr>
      <w:r w:rsidRPr="00F262AF">
        <w:rPr>
          <w:rFonts w:ascii="Calibri" w:eastAsia="Calibri" w:hAnsi="Calibri" w:cs="Arial" w:hint="cs"/>
          <w:b/>
          <w:bCs/>
          <w:sz w:val="24"/>
          <w:szCs w:val="24"/>
          <w:rtl/>
          <w:lang w:eastAsia="en-US" w:bidi="ar-TN"/>
        </w:rPr>
        <w:t>قانون</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عدد</w:t>
      </w:r>
      <w:r w:rsidRPr="00F262AF">
        <w:rPr>
          <w:rFonts w:ascii="Calibri" w:eastAsia="Calibri" w:hAnsi="Calibri" w:cs="Arial"/>
          <w:b/>
          <w:bCs/>
          <w:sz w:val="24"/>
          <w:szCs w:val="24"/>
          <w:rtl/>
          <w:lang w:eastAsia="en-US" w:bidi="ar-TN"/>
        </w:rPr>
        <w:t xml:space="preserve"> 14 </w:t>
      </w:r>
      <w:r>
        <w:rPr>
          <w:rFonts w:ascii="Calibri" w:eastAsia="Calibri" w:hAnsi="Calibri" w:cs="Arial" w:hint="cs"/>
          <w:b/>
          <w:bCs/>
          <w:sz w:val="24"/>
          <w:szCs w:val="24"/>
          <w:rtl/>
          <w:lang w:eastAsia="en-US" w:bidi="ar-TN"/>
        </w:rPr>
        <w:t xml:space="preserve">لسنة 2008 </w:t>
      </w:r>
      <w:bookmarkStart w:id="0" w:name="_GoBack"/>
      <w:bookmarkEnd w:id="0"/>
      <w:r w:rsidRPr="00F262AF">
        <w:rPr>
          <w:rFonts w:ascii="Calibri" w:eastAsia="Calibri" w:hAnsi="Calibri" w:cs="Arial" w:hint="cs"/>
          <w:b/>
          <w:bCs/>
          <w:sz w:val="24"/>
          <w:szCs w:val="24"/>
          <w:rtl/>
          <w:lang w:eastAsia="en-US" w:bidi="ar-TN"/>
        </w:rPr>
        <w:t>مؤرخ</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في</w:t>
      </w:r>
      <w:r w:rsidRPr="00F262AF">
        <w:rPr>
          <w:rFonts w:ascii="Calibri" w:eastAsia="Calibri" w:hAnsi="Calibri" w:cs="Arial"/>
          <w:b/>
          <w:bCs/>
          <w:sz w:val="24"/>
          <w:szCs w:val="24"/>
          <w:rtl/>
          <w:lang w:eastAsia="en-US" w:bidi="ar-TN"/>
        </w:rPr>
        <w:t xml:space="preserve"> 18 </w:t>
      </w:r>
      <w:r w:rsidRPr="00F262AF">
        <w:rPr>
          <w:rFonts w:ascii="Calibri" w:eastAsia="Calibri" w:hAnsi="Calibri" w:cs="Arial" w:hint="cs"/>
          <w:b/>
          <w:bCs/>
          <w:sz w:val="24"/>
          <w:szCs w:val="24"/>
          <w:rtl/>
          <w:lang w:eastAsia="en-US" w:bidi="ar-TN"/>
        </w:rPr>
        <w:t>فيفري</w:t>
      </w:r>
      <w:r w:rsidRPr="00F262AF">
        <w:rPr>
          <w:rFonts w:ascii="Calibri" w:eastAsia="Calibri" w:hAnsi="Calibri" w:cs="Arial"/>
          <w:b/>
          <w:bCs/>
          <w:sz w:val="24"/>
          <w:szCs w:val="24"/>
          <w:rtl/>
          <w:lang w:eastAsia="en-US" w:bidi="ar-TN"/>
        </w:rPr>
        <w:t xml:space="preserve"> 2008 </w:t>
      </w:r>
      <w:r w:rsidRPr="00F262AF">
        <w:rPr>
          <w:rFonts w:ascii="Calibri" w:eastAsia="Calibri" w:hAnsi="Calibri" w:cs="Arial" w:hint="cs"/>
          <w:b/>
          <w:bCs/>
          <w:sz w:val="24"/>
          <w:szCs w:val="24"/>
          <w:rtl/>
          <w:lang w:eastAsia="en-US" w:bidi="ar-TN"/>
        </w:rPr>
        <w:t>يتعلق</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بتنقيح</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وإتمام</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القانون</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عدد</w:t>
      </w:r>
      <w:r w:rsidRPr="00F262AF">
        <w:rPr>
          <w:rFonts w:ascii="Calibri" w:eastAsia="Calibri" w:hAnsi="Calibri" w:cs="Arial"/>
          <w:b/>
          <w:bCs/>
          <w:sz w:val="24"/>
          <w:szCs w:val="24"/>
          <w:rtl/>
          <w:lang w:eastAsia="en-US" w:bidi="ar-TN"/>
        </w:rPr>
        <w:t xml:space="preserve"> 81 </w:t>
      </w:r>
      <w:r w:rsidRPr="00F262AF">
        <w:rPr>
          <w:rFonts w:ascii="Calibri" w:eastAsia="Calibri" w:hAnsi="Calibri" w:cs="Arial" w:hint="cs"/>
          <w:b/>
          <w:bCs/>
          <w:sz w:val="24"/>
          <w:szCs w:val="24"/>
          <w:rtl/>
          <w:lang w:eastAsia="en-US" w:bidi="ar-TN"/>
        </w:rPr>
        <w:t>لسنة</w:t>
      </w:r>
      <w:r w:rsidRPr="00F262AF">
        <w:rPr>
          <w:rFonts w:ascii="Calibri" w:eastAsia="Calibri" w:hAnsi="Calibri" w:cs="Arial"/>
          <w:b/>
          <w:bCs/>
          <w:sz w:val="24"/>
          <w:szCs w:val="24"/>
          <w:rtl/>
          <w:lang w:eastAsia="en-US" w:bidi="ar-TN"/>
        </w:rPr>
        <w:t xml:space="preserve"> 2002 </w:t>
      </w:r>
      <w:r w:rsidRPr="00F262AF">
        <w:rPr>
          <w:rFonts w:ascii="Calibri" w:eastAsia="Calibri" w:hAnsi="Calibri" w:cs="Arial" w:hint="cs"/>
          <w:b/>
          <w:bCs/>
          <w:sz w:val="24"/>
          <w:szCs w:val="24"/>
          <w:rtl/>
          <w:lang w:eastAsia="en-US" w:bidi="ar-TN"/>
        </w:rPr>
        <w:t>المؤرخ</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في</w:t>
      </w:r>
      <w:r w:rsidRPr="00F262AF">
        <w:rPr>
          <w:rFonts w:ascii="Calibri" w:eastAsia="Calibri" w:hAnsi="Calibri" w:cs="Arial"/>
          <w:b/>
          <w:bCs/>
          <w:sz w:val="24"/>
          <w:szCs w:val="24"/>
          <w:rtl/>
          <w:lang w:eastAsia="en-US" w:bidi="ar-TN"/>
        </w:rPr>
        <w:t xml:space="preserve"> 3 </w:t>
      </w:r>
      <w:r w:rsidRPr="00F262AF">
        <w:rPr>
          <w:rFonts w:ascii="Calibri" w:eastAsia="Calibri" w:hAnsi="Calibri" w:cs="Arial" w:hint="cs"/>
          <w:b/>
          <w:bCs/>
          <w:sz w:val="24"/>
          <w:szCs w:val="24"/>
          <w:rtl/>
          <w:lang w:eastAsia="en-US" w:bidi="ar-TN"/>
        </w:rPr>
        <w:t>أوت</w:t>
      </w:r>
      <w:r w:rsidRPr="00F262AF">
        <w:rPr>
          <w:rFonts w:ascii="Calibri" w:eastAsia="Calibri" w:hAnsi="Calibri" w:cs="Arial"/>
          <w:b/>
          <w:bCs/>
          <w:sz w:val="24"/>
          <w:szCs w:val="24"/>
          <w:rtl/>
          <w:lang w:eastAsia="en-US" w:bidi="ar-TN"/>
        </w:rPr>
        <w:t xml:space="preserve"> 2002 </w:t>
      </w:r>
      <w:r w:rsidRPr="00F262AF">
        <w:rPr>
          <w:rFonts w:ascii="Calibri" w:eastAsia="Calibri" w:hAnsi="Calibri" w:cs="Arial" w:hint="cs"/>
          <w:b/>
          <w:bCs/>
          <w:sz w:val="24"/>
          <w:szCs w:val="24"/>
          <w:rtl/>
          <w:lang w:eastAsia="en-US" w:bidi="ar-TN"/>
        </w:rPr>
        <w:t>المتعلق</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بممارسة</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الأنشطة</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الخصوصية</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المتعلقة</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بالمراقبة</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والحراسة</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ونقل</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العملة</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والمعادن</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الثمينة</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والحماية</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البدنية</w:t>
      </w:r>
      <w:r w:rsidRPr="00F262AF">
        <w:rPr>
          <w:rFonts w:ascii="Calibri" w:eastAsia="Calibri" w:hAnsi="Calibri" w:cs="Arial"/>
          <w:b/>
          <w:bCs/>
          <w:sz w:val="24"/>
          <w:szCs w:val="24"/>
          <w:rtl/>
          <w:lang w:eastAsia="en-US" w:bidi="ar-TN"/>
        </w:rPr>
        <w:t xml:space="preserve"> </w:t>
      </w:r>
      <w:r w:rsidRPr="00F262AF">
        <w:rPr>
          <w:rFonts w:ascii="Calibri" w:eastAsia="Calibri" w:hAnsi="Calibri" w:cs="Arial" w:hint="cs"/>
          <w:b/>
          <w:bCs/>
          <w:sz w:val="24"/>
          <w:szCs w:val="24"/>
          <w:rtl/>
          <w:lang w:eastAsia="en-US" w:bidi="ar-TN"/>
        </w:rPr>
        <w:t>للأشخاص</w:t>
      </w:r>
    </w:p>
    <w:p w14:paraId="64379D7F" w14:textId="77777777" w:rsidR="005B3DA1" w:rsidRDefault="005B3DA1" w:rsidP="005B3DA1">
      <w:pPr>
        <w:bidi/>
        <w:spacing w:before="100" w:beforeAutospacing="1" w:after="0"/>
        <w:ind w:left="283"/>
        <w:jc w:val="both"/>
        <w:rPr>
          <w:rFonts w:ascii="Arial" w:hAnsi="Arial" w:cs="Arial" w:hint="cs"/>
          <w:color w:val="000000"/>
          <w:sz w:val="21"/>
          <w:szCs w:val="21"/>
          <w:shd w:val="clear" w:color="auto" w:fill="FFFFFF"/>
          <w:rtl/>
          <w:lang w:bidi="ar-TN"/>
        </w:rPr>
      </w:pPr>
      <w:proofErr w:type="gramStart"/>
      <w:r>
        <w:rPr>
          <w:rFonts w:ascii="Arial" w:hAnsi="Arial" w:cs="Arial"/>
          <w:color w:val="000000"/>
          <w:sz w:val="21"/>
          <w:szCs w:val="21"/>
          <w:shd w:val="clear" w:color="auto" w:fill="FFFFFF"/>
          <w:rtl/>
        </w:rPr>
        <w:t>باسم</w:t>
      </w:r>
      <w:proofErr w:type="gramEnd"/>
      <w:r>
        <w:rPr>
          <w:rFonts w:ascii="Arial" w:hAnsi="Arial" w:cs="Arial"/>
          <w:color w:val="000000"/>
          <w:sz w:val="21"/>
          <w:szCs w:val="21"/>
          <w:shd w:val="clear" w:color="auto" w:fill="FFFFFF"/>
          <w:rtl/>
        </w:rPr>
        <w:t xml:space="preserve"> الشعب،</w:t>
      </w:r>
    </w:p>
    <w:p w14:paraId="44A1F9E3" w14:textId="77777777" w:rsidR="005B3DA1" w:rsidRDefault="005B3DA1" w:rsidP="005B3DA1">
      <w:pPr>
        <w:bidi/>
        <w:spacing w:before="100" w:beforeAutospacing="1" w:after="0"/>
        <w:ind w:left="283"/>
        <w:jc w:val="both"/>
        <w:rPr>
          <w:rFonts w:ascii="Arial" w:hAnsi="Arial" w:cs="Arial" w:hint="cs"/>
          <w:color w:val="000000"/>
          <w:sz w:val="21"/>
          <w:szCs w:val="21"/>
          <w:shd w:val="clear" w:color="auto" w:fill="FFFFFF"/>
          <w:rtl/>
          <w:lang w:bidi="ar-TN"/>
        </w:rPr>
      </w:pPr>
      <w:proofErr w:type="gramStart"/>
      <w:r>
        <w:rPr>
          <w:rFonts w:ascii="Arial" w:hAnsi="Arial" w:cs="Arial"/>
          <w:color w:val="000000"/>
          <w:sz w:val="21"/>
          <w:szCs w:val="21"/>
          <w:shd w:val="clear" w:color="auto" w:fill="FFFFFF"/>
          <w:rtl/>
        </w:rPr>
        <w:t>وبعد</w:t>
      </w:r>
      <w:proofErr w:type="gramEnd"/>
      <w:r>
        <w:rPr>
          <w:rFonts w:ascii="Arial" w:hAnsi="Arial" w:cs="Arial"/>
          <w:color w:val="000000"/>
          <w:sz w:val="21"/>
          <w:szCs w:val="21"/>
          <w:shd w:val="clear" w:color="auto" w:fill="FFFFFF"/>
          <w:rtl/>
        </w:rPr>
        <w:t xml:space="preserve"> موافقة مجلس النواب ومجلس المستشارين،</w:t>
      </w:r>
    </w:p>
    <w:p w14:paraId="14FC50C2" w14:textId="77777777" w:rsidR="005B3DA1" w:rsidRDefault="005B3DA1" w:rsidP="005B3DA1">
      <w:pPr>
        <w:bidi/>
        <w:spacing w:before="100" w:beforeAutospacing="1" w:after="0"/>
        <w:ind w:left="283"/>
        <w:jc w:val="both"/>
        <w:rPr>
          <w:rFonts w:ascii="Arial" w:hAnsi="Arial" w:cs="Arial" w:hint="cs"/>
          <w:color w:val="000000"/>
          <w:sz w:val="21"/>
          <w:szCs w:val="21"/>
          <w:shd w:val="clear" w:color="auto" w:fill="FFFFFF"/>
          <w:rtl/>
        </w:rPr>
      </w:pPr>
      <w:r>
        <w:rPr>
          <w:rFonts w:ascii="Arial" w:hAnsi="Arial" w:cs="Arial"/>
          <w:color w:val="000000"/>
          <w:sz w:val="21"/>
          <w:szCs w:val="21"/>
          <w:shd w:val="clear" w:color="auto" w:fill="FFFFFF"/>
          <w:rtl/>
        </w:rPr>
        <w:t>يصدر رئيس الجمهورية القانون الآتي نصه</w:t>
      </w:r>
      <w:r>
        <w:rPr>
          <w:rFonts w:ascii="Arial" w:hAnsi="Arial" w:cs="Arial" w:hint="cs"/>
          <w:color w:val="000000"/>
          <w:sz w:val="21"/>
          <w:szCs w:val="21"/>
          <w:shd w:val="clear" w:color="auto" w:fill="FFFFFF"/>
          <w:rtl/>
        </w:rPr>
        <w:t>:</w:t>
      </w:r>
    </w:p>
    <w:p w14:paraId="2EB2ED68" w14:textId="77777777" w:rsidR="005B3DA1" w:rsidRDefault="005B3DA1" w:rsidP="005B3DA1">
      <w:pPr>
        <w:bidi/>
        <w:spacing w:before="100" w:beforeAutospacing="1" w:after="0"/>
        <w:ind w:left="283"/>
        <w:jc w:val="both"/>
        <w:rPr>
          <w:rFonts w:ascii="Arial" w:hAnsi="Arial" w:cs="Arial" w:hint="cs"/>
          <w:color w:val="000000"/>
          <w:sz w:val="21"/>
          <w:szCs w:val="21"/>
          <w:shd w:val="clear" w:color="auto" w:fill="FFFFFF"/>
          <w:rtl/>
        </w:rPr>
      </w:pPr>
      <w:r>
        <w:rPr>
          <w:rFonts w:ascii="Arial" w:hAnsi="Arial" w:cs="Arial"/>
          <w:color w:val="000000"/>
          <w:sz w:val="21"/>
          <w:szCs w:val="21"/>
          <w:shd w:val="clear" w:color="auto" w:fill="FFFFFF"/>
          <w:rtl/>
        </w:rPr>
        <w:t>الفصل الأول</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 xml:space="preserve">ألغيت أحكام المطة الثانية من الفصل 6 </w:t>
      </w:r>
      <w:proofErr w:type="spellStart"/>
      <w:r>
        <w:rPr>
          <w:rFonts w:ascii="Arial" w:hAnsi="Arial" w:cs="Arial"/>
          <w:color w:val="000000"/>
          <w:sz w:val="21"/>
          <w:szCs w:val="21"/>
          <w:shd w:val="clear" w:color="auto" w:fill="FFFFFF"/>
          <w:rtl/>
        </w:rPr>
        <w:t>والمطة</w:t>
      </w:r>
      <w:proofErr w:type="spellEnd"/>
      <w:r>
        <w:rPr>
          <w:rFonts w:ascii="Arial" w:hAnsi="Arial" w:cs="Arial"/>
          <w:color w:val="000000"/>
          <w:sz w:val="21"/>
          <w:szCs w:val="21"/>
          <w:shd w:val="clear" w:color="auto" w:fill="FFFFFF"/>
          <w:rtl/>
        </w:rPr>
        <w:t xml:space="preserve"> الثانية من الفقرة الأولى والفقرة الثالثة من الفصل 11 والفقرة الأولى من الفصل 28 </w:t>
      </w:r>
      <w:proofErr w:type="spellStart"/>
      <w:r>
        <w:rPr>
          <w:rFonts w:ascii="Arial" w:hAnsi="Arial" w:cs="Arial"/>
          <w:color w:val="000000"/>
          <w:sz w:val="21"/>
          <w:szCs w:val="21"/>
          <w:shd w:val="clear" w:color="auto" w:fill="FFFFFF"/>
          <w:rtl/>
        </w:rPr>
        <w:t>والمطة</w:t>
      </w:r>
      <w:proofErr w:type="spellEnd"/>
      <w:r>
        <w:rPr>
          <w:rFonts w:ascii="Arial" w:hAnsi="Arial" w:cs="Arial"/>
          <w:color w:val="000000"/>
          <w:sz w:val="21"/>
          <w:szCs w:val="21"/>
          <w:shd w:val="clear" w:color="auto" w:fill="FFFFFF"/>
          <w:rtl/>
        </w:rPr>
        <w:t xml:space="preserve"> الثانية من الفصل 29 والفصول 30 و32 و34 من القانون عدد 81 لسنة 2002 المؤرخ في 3 أوت 2002 المتعلق بممارسة الأنشطة الخصوصية المتعلقة بالمراقبة والحراسة ونقل العملة والمعادن الثمينة والحماية البدنية للأشخاص وعوضت بالأحكام التالية</w:t>
      </w:r>
      <w:r>
        <w:rPr>
          <w:rFonts w:ascii="Arial" w:hAnsi="Arial" w:cs="Arial" w:hint="cs"/>
          <w:color w:val="000000"/>
          <w:sz w:val="21"/>
          <w:szCs w:val="21"/>
          <w:shd w:val="clear" w:color="auto" w:fill="FFFFFF"/>
          <w:rtl/>
        </w:rPr>
        <w:t>:</w:t>
      </w:r>
    </w:p>
    <w:p w14:paraId="214A7AD6" w14:textId="77777777" w:rsidR="005B3DA1" w:rsidRDefault="005B3DA1" w:rsidP="005B3DA1">
      <w:pPr>
        <w:bidi/>
        <w:spacing w:before="100" w:beforeAutospacing="1" w:after="0"/>
        <w:ind w:left="283"/>
        <w:jc w:val="both"/>
        <w:rPr>
          <w:rFonts w:ascii="Arial" w:hAnsi="Arial" w:cs="Arial" w:hint="cs"/>
          <w:color w:val="000000"/>
          <w:sz w:val="21"/>
          <w:szCs w:val="21"/>
          <w:shd w:val="clear" w:color="auto" w:fill="FFFFFF"/>
          <w:rtl/>
        </w:rPr>
      </w:pPr>
      <w:r w:rsidRPr="00F262AF">
        <w:rPr>
          <w:rFonts w:ascii="Arial" w:hAnsi="Arial" w:cs="Arial"/>
          <w:b/>
          <w:bCs/>
          <w:color w:val="000000"/>
          <w:sz w:val="21"/>
          <w:szCs w:val="21"/>
          <w:shd w:val="clear" w:color="auto" w:fill="FFFFFF"/>
          <w:rtl/>
        </w:rPr>
        <w:t>الفصل 6 (المطة الثانية جديدة)</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p>
    <w:p w14:paraId="4157253B" w14:textId="77777777" w:rsidR="005B3DA1" w:rsidRPr="00F262AF" w:rsidRDefault="005B3DA1" w:rsidP="005B3DA1">
      <w:pPr>
        <w:pStyle w:val="Paragraphedeliste"/>
        <w:numPr>
          <w:ilvl w:val="0"/>
          <w:numId w:val="19"/>
        </w:numPr>
        <w:bidi/>
        <w:spacing w:before="100" w:beforeAutospacing="1" w:after="0"/>
        <w:ind w:left="1494"/>
        <w:jc w:val="both"/>
        <w:rPr>
          <w:rFonts w:ascii="Arial" w:hAnsi="Arial" w:cs="Arial" w:hint="cs"/>
          <w:color w:val="000000"/>
          <w:sz w:val="21"/>
          <w:szCs w:val="21"/>
          <w:shd w:val="clear" w:color="auto" w:fill="FFFFFF"/>
          <w:rtl/>
          <w:lang w:bidi="ar-TN"/>
        </w:rPr>
      </w:pPr>
      <w:r w:rsidRPr="00F262AF">
        <w:rPr>
          <w:rFonts w:ascii="Arial" w:hAnsi="Arial" w:cs="Arial"/>
          <w:color w:val="000000"/>
          <w:sz w:val="21"/>
          <w:szCs w:val="21"/>
          <w:shd w:val="clear" w:color="auto" w:fill="FFFFFF"/>
          <w:rtl/>
        </w:rPr>
        <w:t xml:space="preserve">أن يكون متمتعا بحقوقه المدنية والسياسية ولم تسبق إدانته بمقتضى حكم بات من أجل جناية أو من أجل جنحـة بـسـبـب ارتـكـاب إحـدى جـرائـم الإرشـاء أو الارتـشاء أو الاختلاس أو السرقة أو التحيل أو التدليس أو الزور أو خيانة مؤتمن أو الاعتداء بما ينافي الحياء أو بسبب ارتكاب إحدى الجرائم المنظمة أو جريمة إرهابية، وذلك وفقا </w:t>
      </w:r>
      <w:proofErr w:type="spellStart"/>
      <w:r w:rsidRPr="00F262AF">
        <w:rPr>
          <w:rFonts w:ascii="Arial" w:hAnsi="Arial" w:cs="Arial"/>
          <w:color w:val="000000"/>
          <w:sz w:val="21"/>
          <w:szCs w:val="21"/>
          <w:shd w:val="clear" w:color="auto" w:fill="FFFFFF"/>
          <w:rtl/>
        </w:rPr>
        <w:t>لتنصيصات</w:t>
      </w:r>
      <w:proofErr w:type="spellEnd"/>
      <w:r w:rsidRPr="00F262AF">
        <w:rPr>
          <w:rFonts w:ascii="Arial" w:hAnsi="Arial" w:cs="Arial"/>
          <w:color w:val="000000"/>
          <w:sz w:val="21"/>
          <w:szCs w:val="21"/>
          <w:shd w:val="clear" w:color="auto" w:fill="FFFFFF"/>
          <w:rtl/>
        </w:rPr>
        <w:t xml:space="preserve"> بطاقة السوابق العدلية عدد 2، أو مستردا لحقوقه بالنسبة إلى الجنح الأخرى</w:t>
      </w:r>
      <w:r w:rsidRPr="00F262AF">
        <w:rPr>
          <w:rFonts w:ascii="Arial" w:hAnsi="Arial" w:cs="Arial"/>
          <w:color w:val="000000"/>
          <w:sz w:val="21"/>
          <w:szCs w:val="21"/>
          <w:shd w:val="clear" w:color="auto" w:fill="FFFFFF"/>
        </w:rPr>
        <w:t>.</w:t>
      </w:r>
    </w:p>
    <w:p w14:paraId="473C18D5" w14:textId="77777777" w:rsidR="005B3DA1" w:rsidRDefault="005B3DA1" w:rsidP="005B3DA1">
      <w:pPr>
        <w:bidi/>
        <w:spacing w:before="100" w:beforeAutospacing="1" w:after="0"/>
        <w:ind w:left="283"/>
        <w:jc w:val="both"/>
        <w:rPr>
          <w:rFonts w:ascii="Arial" w:hAnsi="Arial" w:cs="Arial" w:hint="cs"/>
          <w:b/>
          <w:bCs/>
          <w:color w:val="000000"/>
          <w:sz w:val="21"/>
          <w:szCs w:val="21"/>
          <w:shd w:val="clear" w:color="auto" w:fill="FFFFFF"/>
          <w:rtl/>
        </w:rPr>
      </w:pPr>
      <w:r w:rsidRPr="00F262AF">
        <w:rPr>
          <w:rFonts w:ascii="Arial" w:hAnsi="Arial" w:cs="Arial"/>
          <w:b/>
          <w:bCs/>
          <w:color w:val="000000"/>
          <w:sz w:val="21"/>
          <w:szCs w:val="21"/>
          <w:shd w:val="clear" w:color="auto" w:fill="FFFFFF"/>
          <w:rtl/>
        </w:rPr>
        <w:t>الفصل 11 (الفقرة الأولى ـ المطة الثانية جديدة)</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p>
    <w:p w14:paraId="67917965" w14:textId="77777777" w:rsidR="005B3DA1" w:rsidRPr="00F262AF" w:rsidRDefault="005B3DA1" w:rsidP="005B3DA1">
      <w:pPr>
        <w:pStyle w:val="Paragraphedeliste"/>
        <w:numPr>
          <w:ilvl w:val="0"/>
          <w:numId w:val="18"/>
        </w:numPr>
        <w:bidi/>
        <w:spacing w:before="100" w:beforeAutospacing="1" w:after="0"/>
        <w:ind w:left="1494"/>
        <w:jc w:val="both"/>
        <w:rPr>
          <w:rFonts w:ascii="Arial" w:hAnsi="Arial" w:cs="Arial" w:hint="cs"/>
          <w:color w:val="000000"/>
          <w:sz w:val="21"/>
          <w:szCs w:val="21"/>
          <w:shd w:val="clear" w:color="auto" w:fill="FFFFFF"/>
          <w:rtl/>
          <w:lang w:bidi="ar-TN"/>
        </w:rPr>
      </w:pPr>
      <w:r w:rsidRPr="00F262AF">
        <w:rPr>
          <w:rFonts w:ascii="Arial" w:hAnsi="Arial" w:cs="Arial"/>
          <w:color w:val="000000"/>
          <w:sz w:val="21"/>
          <w:szCs w:val="21"/>
          <w:shd w:val="clear" w:color="auto" w:fill="FFFFFF"/>
          <w:rtl/>
        </w:rPr>
        <w:t xml:space="preserve">متمتعا بحقوقه المدنية والسياسية ولم تسبق إدانته بمقتضى حكم بات من أجل جناية أو من أجل جنحـة بسبـب ارتكـاب إحـدى جرائـم الإرشـاء أو الارتـشــاء أو الاختلاس أو السرقة أو التحيل أو التدليس أو الزور أو خيانة مؤتمن أو الاعتداء بما ينافي الحياء أو بسبب ارتكاب إحدى الجرائم المنظمة أو جريمة إرهابية، وذلك وفقا </w:t>
      </w:r>
      <w:proofErr w:type="spellStart"/>
      <w:r w:rsidRPr="00F262AF">
        <w:rPr>
          <w:rFonts w:ascii="Arial" w:hAnsi="Arial" w:cs="Arial"/>
          <w:color w:val="000000"/>
          <w:sz w:val="21"/>
          <w:szCs w:val="21"/>
          <w:shd w:val="clear" w:color="auto" w:fill="FFFFFF"/>
          <w:rtl/>
        </w:rPr>
        <w:t>لتنصيصات</w:t>
      </w:r>
      <w:proofErr w:type="spellEnd"/>
      <w:r w:rsidRPr="00F262AF">
        <w:rPr>
          <w:rFonts w:ascii="Arial" w:hAnsi="Arial" w:cs="Arial"/>
          <w:color w:val="000000"/>
          <w:sz w:val="21"/>
          <w:szCs w:val="21"/>
          <w:shd w:val="clear" w:color="auto" w:fill="FFFFFF"/>
          <w:rtl/>
        </w:rPr>
        <w:t xml:space="preserve"> بطاقة السوابق العدلية عدد 2 أو مستردا لحقوقه بالنسبة إلى الجنح الأخرى</w:t>
      </w:r>
      <w:r w:rsidRPr="00F262AF">
        <w:rPr>
          <w:rFonts w:ascii="Arial" w:hAnsi="Arial" w:cs="Arial"/>
          <w:color w:val="000000"/>
          <w:sz w:val="21"/>
          <w:szCs w:val="21"/>
          <w:shd w:val="clear" w:color="auto" w:fill="FFFFFF"/>
        </w:rPr>
        <w:t>.</w:t>
      </w:r>
    </w:p>
    <w:p w14:paraId="52EB059C" w14:textId="77777777" w:rsidR="005B3DA1" w:rsidRDefault="005B3DA1" w:rsidP="005B3DA1">
      <w:pPr>
        <w:bidi/>
        <w:spacing w:before="100" w:beforeAutospacing="1" w:after="0"/>
        <w:ind w:left="283"/>
        <w:jc w:val="both"/>
        <w:rPr>
          <w:rFonts w:ascii="Arial" w:hAnsi="Arial" w:cs="Arial" w:hint="cs"/>
          <w:color w:val="000000"/>
          <w:sz w:val="21"/>
          <w:szCs w:val="21"/>
          <w:shd w:val="clear" w:color="auto" w:fill="FFFFFF"/>
          <w:rtl/>
          <w:lang w:bidi="ar-TN"/>
        </w:rPr>
      </w:pPr>
      <w:r w:rsidRPr="00F262AF">
        <w:rPr>
          <w:rFonts w:ascii="Arial" w:hAnsi="Arial" w:cs="Arial"/>
          <w:b/>
          <w:bCs/>
          <w:color w:val="000000"/>
          <w:sz w:val="21"/>
          <w:szCs w:val="21"/>
          <w:shd w:val="clear" w:color="auto" w:fill="FFFFFF"/>
          <w:rtl/>
        </w:rPr>
        <w:t>الفصل 11 (الفقرة الثالثة جديدة)</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r w:rsidRPr="00F262AF">
        <w:rPr>
          <w:rFonts w:ascii="Arial" w:hAnsi="Arial" w:cs="Arial" w:hint="cs"/>
          <w:b/>
          <w:bCs/>
          <w:color w:val="000000"/>
          <w:sz w:val="21"/>
          <w:szCs w:val="21"/>
          <w:shd w:val="clear" w:color="auto" w:fill="FFFFFF"/>
          <w:rtl/>
        </w:rPr>
        <w:t xml:space="preserve"> </w:t>
      </w:r>
      <w:r>
        <w:rPr>
          <w:rFonts w:ascii="Arial" w:hAnsi="Arial" w:cs="Arial"/>
          <w:color w:val="000000"/>
          <w:sz w:val="21"/>
          <w:szCs w:val="21"/>
          <w:shd w:val="clear" w:color="auto" w:fill="FFFFFF"/>
          <w:rtl/>
        </w:rPr>
        <w:t xml:space="preserve">يمكّن المؤجر الأعوان المنتدبين من تكوين أساسي ومستمر في مجال النشاط المنتدب من أجله، يتمّ بالفضاءات التي توفرها المؤسسة المعنية وبواسطة مكوّنين تابعين لمدارس الأمن الوطني، بمقابل ووفق اتفاقية تبرم في الغرض. </w:t>
      </w:r>
      <w:proofErr w:type="gramStart"/>
      <w:r>
        <w:rPr>
          <w:rFonts w:ascii="Arial" w:hAnsi="Arial" w:cs="Arial"/>
          <w:color w:val="000000"/>
          <w:sz w:val="21"/>
          <w:szCs w:val="21"/>
          <w:shd w:val="clear" w:color="auto" w:fill="FFFFFF"/>
          <w:rtl/>
        </w:rPr>
        <w:t>وتختتم</w:t>
      </w:r>
      <w:proofErr w:type="gramEnd"/>
      <w:r>
        <w:rPr>
          <w:rFonts w:ascii="Arial" w:hAnsi="Arial" w:cs="Arial"/>
          <w:color w:val="000000"/>
          <w:sz w:val="21"/>
          <w:szCs w:val="21"/>
          <w:shd w:val="clear" w:color="auto" w:fill="FFFFFF"/>
          <w:rtl/>
        </w:rPr>
        <w:t xml:space="preserve"> مرحلة التكوين بإسناد شهادة كفاءة مهنية تسلمها المدرسة المعنية، وتضبط برامج التكوين وشروط إسناد هذه الشهادة بقرار من وزير الداخلية</w:t>
      </w:r>
      <w:r>
        <w:rPr>
          <w:rFonts w:ascii="Arial" w:hAnsi="Arial" w:cs="Arial"/>
          <w:color w:val="000000"/>
          <w:sz w:val="21"/>
          <w:szCs w:val="21"/>
          <w:shd w:val="clear" w:color="auto" w:fill="FFFFFF"/>
        </w:rPr>
        <w:t>.</w:t>
      </w:r>
    </w:p>
    <w:p w14:paraId="1D431D6C" w14:textId="77777777" w:rsidR="005B3DA1" w:rsidRPr="00F262AF" w:rsidRDefault="005B3DA1" w:rsidP="005B3DA1">
      <w:pPr>
        <w:bidi/>
        <w:spacing w:before="100" w:beforeAutospacing="1" w:after="0"/>
        <w:ind w:left="283"/>
        <w:jc w:val="both"/>
        <w:rPr>
          <w:rFonts w:ascii="Arial" w:hAnsi="Arial" w:cs="Arial"/>
          <w:color w:val="000000"/>
          <w:sz w:val="21"/>
          <w:szCs w:val="21"/>
          <w:shd w:val="clear" w:color="auto" w:fill="FFFFFF"/>
        </w:rPr>
      </w:pPr>
      <w:r w:rsidRPr="00F262AF">
        <w:rPr>
          <w:rFonts w:ascii="Arial" w:hAnsi="Arial" w:cs="Arial"/>
          <w:b/>
          <w:bCs/>
          <w:color w:val="000000"/>
          <w:sz w:val="21"/>
          <w:szCs w:val="21"/>
          <w:shd w:val="clear" w:color="auto" w:fill="FFFFFF"/>
          <w:rtl/>
        </w:rPr>
        <w:t>الفصل 28 (فقرة أولى جديدة)</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لمأموري الضابطة العدلية، المشار إليهم بالفصل 27 من هذا القانون، مراقبة السجلات والوثائق المنصوص عليها بهذا القانون والحصول على المعلومات اللازمة ومستنداتها، سواء على عين المكان أو باستدعاء الأشخاص المرخص لهم لدى الإدارة</w:t>
      </w:r>
      <w:r>
        <w:rPr>
          <w:rFonts w:ascii="Arial" w:hAnsi="Arial" w:cs="Arial"/>
          <w:color w:val="000000"/>
          <w:sz w:val="21"/>
          <w:szCs w:val="21"/>
          <w:shd w:val="clear" w:color="auto" w:fill="FFFFFF"/>
        </w:rPr>
        <w:t>.</w:t>
      </w:r>
    </w:p>
    <w:p w14:paraId="32CC735B" w14:textId="77777777" w:rsidR="005B3DA1" w:rsidRPr="00F262AF" w:rsidRDefault="005B3DA1" w:rsidP="005B3DA1">
      <w:pPr>
        <w:bidi/>
        <w:spacing w:before="100" w:beforeAutospacing="1" w:after="0"/>
        <w:ind w:left="283"/>
        <w:jc w:val="both"/>
        <w:rPr>
          <w:rFonts w:ascii="Arial" w:hAnsi="Arial" w:cs="Arial" w:hint="cs"/>
          <w:b/>
          <w:bCs/>
          <w:color w:val="000000"/>
          <w:sz w:val="21"/>
          <w:szCs w:val="21"/>
          <w:shd w:val="clear" w:color="auto" w:fill="FFFFFF"/>
          <w:rtl/>
          <w:lang w:bidi="ar-TN"/>
        </w:rPr>
      </w:pPr>
      <w:r w:rsidRPr="00F262AF">
        <w:rPr>
          <w:rFonts w:ascii="Arial" w:hAnsi="Arial" w:cs="Arial"/>
          <w:b/>
          <w:bCs/>
          <w:color w:val="000000"/>
          <w:sz w:val="21"/>
          <w:szCs w:val="21"/>
          <w:shd w:val="clear" w:color="auto" w:fill="FFFFFF"/>
          <w:rtl/>
        </w:rPr>
        <w:t>الفصل 29 (مطة ثانية جديدة</w:t>
      </w:r>
      <w:r w:rsidRPr="00F262AF">
        <w:rPr>
          <w:rFonts w:ascii="Arial" w:hAnsi="Arial" w:cs="Arial" w:hint="cs"/>
          <w:b/>
          <w:bCs/>
          <w:color w:val="000000"/>
          <w:sz w:val="21"/>
          <w:szCs w:val="21"/>
          <w:shd w:val="clear" w:color="auto" w:fill="FFFFFF"/>
          <w:rtl/>
          <w:lang w:bidi="ar-TN"/>
        </w:rPr>
        <w:t xml:space="preserve">) </w:t>
      </w:r>
      <w:r w:rsidRPr="00F262AF">
        <w:rPr>
          <w:rFonts w:ascii="Arial" w:hAnsi="Arial" w:cs="Arial"/>
          <w:b/>
          <w:bCs/>
          <w:color w:val="000000"/>
          <w:sz w:val="21"/>
          <w:szCs w:val="21"/>
          <w:shd w:val="clear" w:color="auto" w:fill="FFFFFF"/>
          <w:rtl/>
          <w:lang w:bidi="ar-TN"/>
        </w:rPr>
        <w:t>–</w:t>
      </w:r>
      <w:r w:rsidRPr="00F262AF">
        <w:rPr>
          <w:rFonts w:ascii="Arial" w:hAnsi="Arial" w:cs="Arial" w:hint="cs"/>
          <w:b/>
          <w:bCs/>
          <w:color w:val="000000"/>
          <w:sz w:val="21"/>
          <w:szCs w:val="21"/>
          <w:shd w:val="clear" w:color="auto" w:fill="FFFFFF"/>
          <w:rtl/>
          <w:lang w:bidi="ar-TN"/>
        </w:rPr>
        <w:t xml:space="preserve"> </w:t>
      </w:r>
    </w:p>
    <w:p w14:paraId="68722998" w14:textId="77777777" w:rsidR="005B3DA1" w:rsidRPr="00F262AF" w:rsidRDefault="005B3DA1" w:rsidP="005B3DA1">
      <w:pPr>
        <w:pStyle w:val="Paragraphedeliste"/>
        <w:numPr>
          <w:ilvl w:val="0"/>
          <w:numId w:val="17"/>
        </w:numPr>
        <w:bidi/>
        <w:spacing w:before="100" w:beforeAutospacing="1" w:after="0"/>
        <w:ind w:left="1494"/>
        <w:jc w:val="both"/>
        <w:rPr>
          <w:rFonts w:ascii="Arial" w:hAnsi="Arial" w:cs="Arial" w:hint="cs"/>
          <w:color w:val="000000"/>
          <w:sz w:val="21"/>
          <w:szCs w:val="21"/>
          <w:shd w:val="clear" w:color="auto" w:fill="FFFFFF"/>
        </w:rPr>
      </w:pPr>
      <w:proofErr w:type="gramStart"/>
      <w:r w:rsidRPr="00F262AF">
        <w:rPr>
          <w:rFonts w:ascii="Arial" w:hAnsi="Arial" w:cs="Arial"/>
          <w:color w:val="000000"/>
          <w:sz w:val="21"/>
          <w:szCs w:val="21"/>
          <w:shd w:val="clear" w:color="auto" w:fill="FFFFFF"/>
          <w:rtl/>
        </w:rPr>
        <w:t>عند</w:t>
      </w:r>
      <w:proofErr w:type="gramEnd"/>
      <w:r w:rsidRPr="00F262AF">
        <w:rPr>
          <w:rFonts w:ascii="Arial" w:hAnsi="Arial" w:cs="Arial"/>
          <w:color w:val="000000"/>
          <w:sz w:val="21"/>
          <w:szCs w:val="21"/>
          <w:shd w:val="clear" w:color="auto" w:fill="FFFFFF"/>
          <w:rtl/>
        </w:rPr>
        <w:t xml:space="preserve"> ارتكاب </w:t>
      </w:r>
      <w:r w:rsidRPr="00F262AF">
        <w:rPr>
          <w:rFonts w:ascii="Arial" w:hAnsi="Arial" w:cs="Arial" w:hint="cs"/>
          <w:color w:val="000000"/>
          <w:sz w:val="21"/>
          <w:szCs w:val="21"/>
          <w:shd w:val="clear" w:color="auto" w:fill="FFFFFF"/>
          <w:rtl/>
        </w:rPr>
        <w:t>خطأ</w:t>
      </w:r>
      <w:r w:rsidRPr="00F262AF">
        <w:rPr>
          <w:rFonts w:ascii="Arial" w:hAnsi="Arial" w:cs="Arial"/>
          <w:color w:val="000000"/>
          <w:sz w:val="21"/>
          <w:szCs w:val="21"/>
          <w:shd w:val="clear" w:color="auto" w:fill="FFFFFF"/>
          <w:rtl/>
        </w:rPr>
        <w:t xml:space="preserve"> مهني جسيم أو في صورة الإخلال بأحد الواجبات المنصوص عليها بالفصول من 11 إلى 14 ومن 17 إلى 20 وبالفصل 26 من هذا القانون</w:t>
      </w:r>
      <w:r w:rsidRPr="00F262AF">
        <w:rPr>
          <w:rFonts w:ascii="Arial" w:hAnsi="Arial" w:cs="Arial"/>
          <w:color w:val="000000"/>
          <w:sz w:val="21"/>
          <w:szCs w:val="21"/>
          <w:shd w:val="clear" w:color="auto" w:fill="FFFFFF"/>
        </w:rPr>
        <w:t>.</w:t>
      </w:r>
    </w:p>
    <w:p w14:paraId="7EB2AD9E" w14:textId="77777777" w:rsidR="005B3DA1" w:rsidRDefault="005B3DA1" w:rsidP="005B3DA1">
      <w:pPr>
        <w:bidi/>
        <w:spacing w:before="100" w:beforeAutospacing="1" w:after="0"/>
        <w:ind w:left="283"/>
        <w:jc w:val="both"/>
        <w:rPr>
          <w:rFonts w:ascii="Arial" w:hAnsi="Arial" w:cs="Arial" w:hint="cs"/>
          <w:color w:val="000000"/>
          <w:sz w:val="21"/>
          <w:szCs w:val="21"/>
          <w:rtl/>
        </w:rPr>
      </w:pPr>
      <w:r w:rsidRPr="00F262AF">
        <w:rPr>
          <w:rFonts w:ascii="Arial" w:hAnsi="Arial" w:cs="Arial"/>
          <w:b/>
          <w:bCs/>
          <w:color w:val="000000"/>
          <w:sz w:val="21"/>
          <w:szCs w:val="21"/>
          <w:shd w:val="clear" w:color="auto" w:fill="FFFFFF"/>
          <w:rtl/>
        </w:rPr>
        <w:t>الفصل 30 (جديد)</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F262AF">
        <w:rPr>
          <w:rFonts w:ascii="Arial" w:hAnsi="Arial" w:cs="Arial"/>
          <w:color w:val="000000"/>
          <w:sz w:val="21"/>
          <w:szCs w:val="21"/>
          <w:shd w:val="clear" w:color="auto" w:fill="FFFFFF"/>
          <w:rtl/>
        </w:rPr>
        <w:t>إذا أثير تتبع جزائي ضد الشخص الطبيعي صاحب الرخصة أو ضد الممثل القانوني للشخص المعنوي المتمتع بالرخصة، يمكن لوزير الداخلية أن يأذن، بمقتضى قرار، بتعليق الرخصة وقتيا. وتسحب الرخصة وجوبا إذا صدر ضد الشخص الطبيعي أو الممثل القانوني للشخص المعنوي، وما لم يتم تغييره، حكم بات يقضي بالإدانة من أجل جناية أو من أجل إحدى الجنح المنصوص عليها بالمطة الثانية من الفصل 6 من هذا القانون</w:t>
      </w:r>
      <w:r w:rsidRPr="00F262AF">
        <w:rPr>
          <w:rFonts w:ascii="Arial" w:hAnsi="Arial" w:cs="Arial"/>
          <w:color w:val="000000"/>
          <w:sz w:val="21"/>
          <w:szCs w:val="21"/>
          <w:shd w:val="clear" w:color="auto" w:fill="FFFFFF"/>
        </w:rPr>
        <w:t>.</w:t>
      </w:r>
    </w:p>
    <w:p w14:paraId="27BB7AD7" w14:textId="77777777" w:rsidR="005B3DA1" w:rsidRDefault="005B3DA1" w:rsidP="005B3DA1">
      <w:pPr>
        <w:bidi/>
        <w:spacing w:before="100" w:beforeAutospacing="1" w:after="0"/>
        <w:ind w:left="283"/>
        <w:jc w:val="both"/>
        <w:rPr>
          <w:rFonts w:ascii="Arial" w:hAnsi="Arial" w:cs="Arial" w:hint="cs"/>
          <w:color w:val="000000"/>
          <w:sz w:val="21"/>
          <w:szCs w:val="21"/>
          <w:rtl/>
        </w:rPr>
      </w:pPr>
      <w:r w:rsidRPr="00F262AF">
        <w:rPr>
          <w:rFonts w:ascii="Arial" w:hAnsi="Arial" w:cs="Arial"/>
          <w:b/>
          <w:bCs/>
          <w:color w:val="000000"/>
          <w:sz w:val="21"/>
          <w:szCs w:val="21"/>
          <w:shd w:val="clear" w:color="auto" w:fill="FFFFFF"/>
          <w:rtl/>
        </w:rPr>
        <w:t>الفصل 32 (جديد)</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F262AF">
        <w:rPr>
          <w:rFonts w:ascii="Arial" w:hAnsi="Arial" w:cs="Arial"/>
          <w:color w:val="000000"/>
          <w:sz w:val="21"/>
          <w:szCs w:val="21"/>
          <w:shd w:val="clear" w:color="auto" w:fill="FFFFFF"/>
          <w:rtl/>
        </w:rPr>
        <w:t>يعاقب بالسجن مدة ثلاثة أعوام وبخطية من خمسين ألف دينار إلى مائة ألف دينار أو بإحدى العقوبتين فقط، كل شخص طبيعي أو ممثل قانوني لشخص معنوي يمارس، دون ترخيص، أحد الأنشطة المنصوص عليها بالفصل الأول من هذا القانون أو يتمادى في ممارسته رغم تعليق الرخصة أو سحبها</w:t>
      </w:r>
      <w:r w:rsidRPr="00F262AF">
        <w:rPr>
          <w:rFonts w:ascii="Arial" w:hAnsi="Arial" w:cs="Arial"/>
          <w:color w:val="000000"/>
          <w:sz w:val="21"/>
          <w:szCs w:val="21"/>
          <w:shd w:val="clear" w:color="auto" w:fill="FFFFFF"/>
        </w:rPr>
        <w:t>.</w:t>
      </w:r>
    </w:p>
    <w:p w14:paraId="5E6447EB" w14:textId="77777777" w:rsidR="005B3DA1" w:rsidRDefault="005B3DA1" w:rsidP="005B3DA1">
      <w:pPr>
        <w:bidi/>
        <w:spacing w:before="100" w:beforeAutospacing="1" w:after="0"/>
        <w:ind w:left="283"/>
        <w:jc w:val="both"/>
        <w:rPr>
          <w:rFonts w:ascii="Arial" w:hAnsi="Arial" w:cs="Arial" w:hint="cs"/>
          <w:color w:val="000000"/>
          <w:sz w:val="21"/>
          <w:szCs w:val="21"/>
          <w:rtl/>
        </w:rPr>
      </w:pPr>
      <w:r w:rsidRPr="00F262AF">
        <w:rPr>
          <w:rFonts w:ascii="Arial" w:hAnsi="Arial" w:cs="Arial"/>
          <w:b/>
          <w:bCs/>
          <w:color w:val="000000"/>
          <w:sz w:val="21"/>
          <w:szCs w:val="21"/>
          <w:shd w:val="clear" w:color="auto" w:fill="FFFFFF"/>
          <w:rtl/>
        </w:rPr>
        <w:t>الفصل 34 (جديد)</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F262AF">
        <w:rPr>
          <w:rFonts w:ascii="Arial" w:hAnsi="Arial" w:cs="Arial"/>
          <w:color w:val="000000"/>
          <w:sz w:val="21"/>
          <w:szCs w:val="21"/>
          <w:shd w:val="clear" w:color="auto" w:fill="FFFFFF"/>
          <w:rtl/>
        </w:rPr>
        <w:t>يعاقب بالسجن مدة عام واحد وبخطية قدرها ألف دينار، كل عون يمتنع عن إرجاع البطاقة المهنية أو زي الشغل المنصوص عليهما بالفصلين 13 و14 من هذا القانون عند الانقطاع بصفة نهائية عن العمل</w:t>
      </w:r>
      <w:r w:rsidRPr="00F262AF">
        <w:rPr>
          <w:rFonts w:ascii="Arial" w:hAnsi="Arial" w:cs="Arial"/>
          <w:color w:val="000000"/>
          <w:sz w:val="21"/>
          <w:szCs w:val="21"/>
          <w:shd w:val="clear" w:color="auto" w:fill="FFFFFF"/>
        </w:rPr>
        <w:t>.</w:t>
      </w:r>
    </w:p>
    <w:p w14:paraId="4827FCF4" w14:textId="77777777" w:rsidR="005B3DA1" w:rsidRDefault="005B3DA1" w:rsidP="005B3DA1">
      <w:pPr>
        <w:bidi/>
        <w:spacing w:before="100" w:beforeAutospacing="1" w:after="0"/>
        <w:ind w:left="283"/>
        <w:jc w:val="both"/>
        <w:rPr>
          <w:rFonts w:ascii="Arial" w:hAnsi="Arial" w:cs="Arial" w:hint="cs"/>
          <w:color w:val="000000"/>
          <w:sz w:val="21"/>
          <w:szCs w:val="21"/>
          <w:shd w:val="clear" w:color="auto" w:fill="FFFFFF"/>
          <w:rtl/>
        </w:rPr>
      </w:pPr>
      <w:r w:rsidRPr="00F262AF">
        <w:rPr>
          <w:rFonts w:ascii="Arial" w:hAnsi="Arial" w:cs="Arial"/>
          <w:b/>
          <w:bCs/>
          <w:color w:val="000000"/>
          <w:sz w:val="21"/>
          <w:szCs w:val="21"/>
          <w:shd w:val="clear" w:color="auto" w:fill="FFFFFF"/>
          <w:rtl/>
        </w:rPr>
        <w:t>الفصل 2</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F262AF">
        <w:rPr>
          <w:rFonts w:ascii="Arial" w:hAnsi="Arial" w:cs="Arial"/>
          <w:color w:val="000000"/>
          <w:sz w:val="21"/>
          <w:szCs w:val="21"/>
          <w:shd w:val="clear" w:color="auto" w:fill="FFFFFF"/>
          <w:rtl/>
        </w:rPr>
        <w:t>أضيفت إلى أحكام القانون عدد 81 لسنة 2002 المؤرخ في 3 أوت 2002 المتعلق بممارسة الأنشطة الخصوصية المتعلقة بالمراقبة والحراسة ونقل العملة والمعادن الثمينة والحماية البدنية للأشخاص، فقرة ثانية بالفصل 9 وفقرة ثانية بالفصل 26 والفصل 36 كما يلي نصها</w:t>
      </w:r>
      <w:r>
        <w:rPr>
          <w:rFonts w:ascii="Arial" w:hAnsi="Arial" w:cs="Arial" w:hint="cs"/>
          <w:color w:val="000000"/>
          <w:sz w:val="21"/>
          <w:szCs w:val="21"/>
          <w:shd w:val="clear" w:color="auto" w:fill="FFFFFF"/>
          <w:rtl/>
        </w:rPr>
        <w:t>:</w:t>
      </w:r>
    </w:p>
    <w:p w14:paraId="411FFCC6" w14:textId="77777777" w:rsidR="005B3DA1" w:rsidRDefault="005B3DA1" w:rsidP="005B3DA1">
      <w:pPr>
        <w:bidi/>
        <w:spacing w:before="100" w:beforeAutospacing="1" w:after="0"/>
        <w:ind w:left="283"/>
        <w:jc w:val="both"/>
        <w:rPr>
          <w:rFonts w:ascii="Arial" w:hAnsi="Arial" w:cs="Arial" w:hint="cs"/>
          <w:color w:val="000000"/>
          <w:sz w:val="21"/>
          <w:szCs w:val="21"/>
          <w:shd w:val="clear" w:color="auto" w:fill="FFFFFF"/>
          <w:rtl/>
        </w:rPr>
      </w:pPr>
      <w:r w:rsidRPr="00F262AF">
        <w:rPr>
          <w:rFonts w:ascii="Arial" w:hAnsi="Arial" w:cs="Arial"/>
          <w:b/>
          <w:bCs/>
          <w:color w:val="000000"/>
          <w:sz w:val="21"/>
          <w:szCs w:val="21"/>
          <w:shd w:val="clear" w:color="auto" w:fill="FFFFFF"/>
          <w:rtl/>
        </w:rPr>
        <w:t>الفصل 9 (الفقرة الثانية)</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F262AF">
        <w:rPr>
          <w:rFonts w:ascii="Arial" w:hAnsi="Arial" w:cs="Arial"/>
          <w:color w:val="000000"/>
          <w:sz w:val="21"/>
          <w:szCs w:val="21"/>
          <w:shd w:val="clear" w:color="auto" w:fill="FFFFFF"/>
          <w:rtl/>
        </w:rPr>
        <w:t>إذا كان طالب الرخصة يدير، في تاريخ تقديم الطلب، أنشطة مهنية أو تجارية مختلفة، فإنه يجب عليه ممارسة النشاط الخصوصي، موضوع طلب الترخيص، في إطار ذات معنوية مستقلة</w:t>
      </w:r>
      <w:r w:rsidRPr="00F262AF">
        <w:rPr>
          <w:rFonts w:ascii="Arial" w:hAnsi="Arial" w:cs="Arial"/>
          <w:color w:val="000000"/>
          <w:sz w:val="21"/>
          <w:szCs w:val="21"/>
          <w:shd w:val="clear" w:color="auto" w:fill="FFFFFF"/>
        </w:rPr>
        <w:t>.</w:t>
      </w:r>
    </w:p>
    <w:p w14:paraId="0331137F" w14:textId="77777777" w:rsidR="005B3DA1" w:rsidRDefault="005B3DA1" w:rsidP="005B3DA1">
      <w:pPr>
        <w:bidi/>
        <w:spacing w:before="100" w:beforeAutospacing="1" w:after="0"/>
        <w:ind w:left="283"/>
        <w:jc w:val="both"/>
        <w:rPr>
          <w:rFonts w:ascii="Arial" w:hAnsi="Arial" w:cs="Arial" w:hint="cs"/>
          <w:color w:val="000000"/>
          <w:sz w:val="21"/>
          <w:szCs w:val="21"/>
          <w:rtl/>
        </w:rPr>
      </w:pPr>
      <w:r w:rsidRPr="00F262AF">
        <w:rPr>
          <w:rFonts w:ascii="Arial" w:hAnsi="Arial" w:cs="Arial"/>
          <w:b/>
          <w:bCs/>
          <w:color w:val="000000"/>
          <w:sz w:val="21"/>
          <w:szCs w:val="21"/>
          <w:shd w:val="clear" w:color="auto" w:fill="FFFFFF"/>
          <w:rtl/>
        </w:rPr>
        <w:t>الفصل 26 (الفقرة الثانية</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F262AF">
        <w:rPr>
          <w:rFonts w:ascii="Arial" w:hAnsi="Arial" w:cs="Arial"/>
          <w:color w:val="000000"/>
          <w:sz w:val="21"/>
          <w:szCs w:val="21"/>
          <w:shd w:val="clear" w:color="auto" w:fill="FFFFFF"/>
          <w:rtl/>
        </w:rPr>
        <w:t>تتم عمليات الشحن والنقل والتفريغ المتعلقة بالعملة والمجوهرات والمعادن الثمينة، وجوبا، تحت حماية الوحدات الأمنية المكلفة بذلك وبمرافقتها، وتخضع لمعلوم يدفع لصندوق اقتناء تجهيزات لفائدة قوات الأمن الداخلي، يتم ضبط مقداره وطرق استخلاصه بأمر</w:t>
      </w:r>
      <w:r w:rsidRPr="00F262AF">
        <w:rPr>
          <w:rFonts w:ascii="Arial" w:hAnsi="Arial" w:cs="Arial"/>
          <w:color w:val="000000"/>
          <w:sz w:val="21"/>
          <w:szCs w:val="21"/>
          <w:shd w:val="clear" w:color="auto" w:fill="FFFFFF"/>
        </w:rPr>
        <w:t>.</w:t>
      </w:r>
    </w:p>
    <w:p w14:paraId="0CC5A144" w14:textId="77777777" w:rsidR="005B3DA1" w:rsidRDefault="005B3DA1" w:rsidP="005B3DA1">
      <w:pPr>
        <w:bidi/>
        <w:spacing w:before="100" w:beforeAutospacing="1" w:after="0"/>
        <w:ind w:left="283"/>
        <w:jc w:val="both"/>
        <w:rPr>
          <w:rFonts w:ascii="Arial" w:hAnsi="Arial" w:cs="Arial" w:hint="cs"/>
          <w:color w:val="000000"/>
          <w:sz w:val="21"/>
          <w:szCs w:val="21"/>
          <w:rtl/>
        </w:rPr>
      </w:pPr>
      <w:r>
        <w:rPr>
          <w:rFonts w:ascii="Arial" w:hAnsi="Arial" w:cs="Arial"/>
          <w:color w:val="000000"/>
          <w:sz w:val="21"/>
          <w:szCs w:val="21"/>
          <w:shd w:val="clear" w:color="auto" w:fill="FFFFFF"/>
          <w:rtl/>
        </w:rPr>
        <w:t>الفصل 36</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F262AF">
        <w:rPr>
          <w:rFonts w:ascii="Arial" w:hAnsi="Arial" w:cs="Arial"/>
          <w:color w:val="000000"/>
          <w:sz w:val="21"/>
          <w:szCs w:val="21"/>
          <w:shd w:val="clear" w:color="auto" w:fill="FFFFFF"/>
          <w:rtl/>
        </w:rPr>
        <w:t>يعفى الأشخاص الذين يمارسون، في تاريخ دخول أحكام هذا الفصل حيز التنفيذ، الأنشطة الخصوصية المتعلقة بالمراقبة والحراسة ونقل العملة والمعادن الثمينة والحماية البدنية للأشخاص، من الشرط المنصوص عليه بالمطة الثانية من الفصل 6 من هذا القانون ويتمّ الاكتفاء بمطالبتهم بالإدلاء بما يفيد نقاوة سوابقهم العدلية وفق تنصيصات بطاقة السوابق العدلية عدد 3</w:t>
      </w:r>
      <w:r w:rsidRPr="00F262AF">
        <w:rPr>
          <w:rFonts w:ascii="Arial" w:hAnsi="Arial" w:cs="Arial"/>
          <w:color w:val="000000"/>
          <w:sz w:val="21"/>
          <w:szCs w:val="21"/>
          <w:shd w:val="clear" w:color="auto" w:fill="FFFFFF"/>
        </w:rPr>
        <w:t>.</w:t>
      </w:r>
    </w:p>
    <w:p w14:paraId="14C8750A" w14:textId="77777777" w:rsidR="005B3DA1" w:rsidRDefault="005B3DA1" w:rsidP="005B3DA1">
      <w:pPr>
        <w:bidi/>
        <w:spacing w:before="100" w:beforeAutospacing="1" w:after="0"/>
        <w:ind w:left="283"/>
        <w:jc w:val="both"/>
        <w:rPr>
          <w:rFonts w:ascii="Arial" w:hAnsi="Arial" w:cs="Arial" w:hint="cs"/>
          <w:color w:val="000000"/>
          <w:sz w:val="21"/>
          <w:szCs w:val="21"/>
          <w:rtl/>
        </w:rPr>
      </w:pPr>
      <w:r w:rsidRPr="00F262AF">
        <w:rPr>
          <w:rFonts w:ascii="Arial" w:hAnsi="Arial" w:cs="Arial"/>
          <w:b/>
          <w:bCs/>
          <w:color w:val="000000"/>
          <w:sz w:val="21"/>
          <w:szCs w:val="21"/>
          <w:shd w:val="clear" w:color="auto" w:fill="FFFFFF"/>
          <w:rtl/>
        </w:rPr>
        <w:t>الفصل 3</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F262AF">
        <w:rPr>
          <w:rFonts w:ascii="Arial" w:hAnsi="Arial" w:cs="Arial"/>
          <w:color w:val="000000"/>
          <w:sz w:val="21"/>
          <w:szCs w:val="21"/>
          <w:shd w:val="clear" w:color="auto" w:fill="FFFFFF"/>
          <w:rtl/>
        </w:rPr>
        <w:t>تم تغيير تسمية الباب الخامس من القانون عدد 81 لسنة 2002 المؤرخ في 3 أوت 2002 المتعلق بممارسة الأنشطة الخصوصية المتعلقة بالمراقبة والحراسة ونقل العملة والمعادن الثمينة والحماية البدنية للأشخاص كما يلي</w:t>
      </w:r>
      <w:r w:rsidRPr="00F262AF">
        <w:rPr>
          <w:rFonts w:ascii="Arial" w:hAnsi="Arial" w:cs="Arial"/>
          <w:color w:val="000000"/>
          <w:sz w:val="21"/>
          <w:szCs w:val="21"/>
          <w:shd w:val="clear" w:color="auto" w:fill="FFFFFF"/>
        </w:rPr>
        <w:t xml:space="preserve"> :</w:t>
      </w:r>
    </w:p>
    <w:p w14:paraId="693EC81A" w14:textId="77777777" w:rsidR="005B3DA1" w:rsidRPr="00F262AF" w:rsidRDefault="005B3DA1" w:rsidP="005B3DA1">
      <w:pPr>
        <w:bidi/>
        <w:spacing w:before="100" w:beforeAutospacing="1" w:after="0"/>
        <w:ind w:left="283"/>
        <w:jc w:val="center"/>
        <w:rPr>
          <w:rFonts w:ascii="Arial" w:hAnsi="Arial" w:cs="Arial" w:hint="cs"/>
          <w:b/>
          <w:bCs/>
          <w:color w:val="000000"/>
          <w:sz w:val="21"/>
          <w:szCs w:val="21"/>
          <w:rtl/>
        </w:rPr>
      </w:pPr>
      <w:r w:rsidRPr="00F262AF">
        <w:rPr>
          <w:rFonts w:ascii="Arial" w:hAnsi="Arial" w:cs="Arial"/>
          <w:b/>
          <w:bCs/>
          <w:color w:val="000000"/>
          <w:sz w:val="21"/>
          <w:szCs w:val="21"/>
          <w:shd w:val="clear" w:color="auto" w:fill="FFFFFF"/>
          <w:rtl/>
        </w:rPr>
        <w:t>الباب الخامس</w:t>
      </w:r>
      <w:r w:rsidRPr="00F262AF">
        <w:rPr>
          <w:rFonts w:ascii="Arial" w:hAnsi="Arial" w:cs="Arial" w:hint="cs"/>
          <w:b/>
          <w:bCs/>
          <w:color w:val="000000"/>
          <w:sz w:val="21"/>
          <w:szCs w:val="21"/>
          <w:rtl/>
        </w:rPr>
        <w:t xml:space="preserve"> </w:t>
      </w:r>
      <w:r w:rsidRPr="00F262AF">
        <w:rPr>
          <w:rFonts w:ascii="Arial" w:hAnsi="Arial" w:cs="Arial"/>
          <w:b/>
          <w:bCs/>
          <w:color w:val="000000"/>
          <w:sz w:val="21"/>
          <w:szCs w:val="21"/>
          <w:rtl/>
        </w:rPr>
        <w:t>–</w:t>
      </w:r>
      <w:r w:rsidRPr="00F262AF">
        <w:rPr>
          <w:rFonts w:ascii="Arial" w:hAnsi="Arial" w:cs="Arial" w:hint="cs"/>
          <w:b/>
          <w:bCs/>
          <w:color w:val="000000"/>
          <w:sz w:val="21"/>
          <w:szCs w:val="21"/>
          <w:rtl/>
        </w:rPr>
        <w:t xml:space="preserve"> </w:t>
      </w:r>
      <w:r w:rsidRPr="00F262AF">
        <w:rPr>
          <w:rFonts w:ascii="Arial" w:hAnsi="Arial" w:cs="Arial"/>
          <w:b/>
          <w:bCs/>
          <w:color w:val="000000"/>
          <w:sz w:val="21"/>
          <w:szCs w:val="21"/>
          <w:shd w:val="clear" w:color="auto" w:fill="FFFFFF"/>
          <w:rtl/>
        </w:rPr>
        <w:t xml:space="preserve">أحكام انتقالية </w:t>
      </w:r>
      <w:proofErr w:type="gramStart"/>
      <w:r w:rsidRPr="00F262AF">
        <w:rPr>
          <w:rFonts w:ascii="Arial" w:hAnsi="Arial" w:cs="Arial"/>
          <w:b/>
          <w:bCs/>
          <w:color w:val="000000"/>
          <w:sz w:val="21"/>
          <w:szCs w:val="21"/>
          <w:shd w:val="clear" w:color="auto" w:fill="FFFFFF"/>
          <w:rtl/>
        </w:rPr>
        <w:t>وأحكام</w:t>
      </w:r>
      <w:proofErr w:type="gramEnd"/>
      <w:r w:rsidRPr="00F262AF">
        <w:rPr>
          <w:rFonts w:ascii="Arial" w:hAnsi="Arial" w:cs="Arial"/>
          <w:b/>
          <w:bCs/>
          <w:color w:val="000000"/>
          <w:sz w:val="21"/>
          <w:szCs w:val="21"/>
          <w:shd w:val="clear" w:color="auto" w:fill="FFFFFF"/>
          <w:rtl/>
        </w:rPr>
        <w:t xml:space="preserve"> خاصة</w:t>
      </w:r>
    </w:p>
    <w:p w14:paraId="288F8957" w14:textId="77777777" w:rsidR="005B3DA1" w:rsidRDefault="005B3DA1" w:rsidP="005B3DA1">
      <w:pPr>
        <w:bidi/>
        <w:spacing w:before="100" w:beforeAutospacing="1" w:after="0"/>
        <w:ind w:left="283"/>
        <w:jc w:val="both"/>
        <w:rPr>
          <w:rFonts w:ascii="Arial" w:hAnsi="Arial" w:cs="Arial" w:hint="cs"/>
          <w:color w:val="000000"/>
          <w:sz w:val="21"/>
          <w:szCs w:val="21"/>
          <w:rtl/>
        </w:rPr>
      </w:pPr>
      <w:r w:rsidRPr="00F262AF">
        <w:rPr>
          <w:rFonts w:ascii="Arial" w:hAnsi="Arial" w:cs="Arial"/>
          <w:b/>
          <w:bCs/>
          <w:color w:val="000000"/>
          <w:sz w:val="21"/>
          <w:szCs w:val="21"/>
          <w:shd w:val="clear" w:color="auto" w:fill="FFFFFF"/>
          <w:rtl/>
        </w:rPr>
        <w:t>الفصل 4</w:t>
      </w:r>
      <w:r w:rsidRPr="00F262AF">
        <w:rPr>
          <w:rFonts w:ascii="Arial" w:hAnsi="Arial" w:cs="Arial" w:hint="cs"/>
          <w:b/>
          <w:bCs/>
          <w:color w:val="000000"/>
          <w:sz w:val="21"/>
          <w:szCs w:val="21"/>
          <w:shd w:val="clear" w:color="auto" w:fill="FFFFFF"/>
          <w:rtl/>
        </w:rPr>
        <w:t xml:space="preserve"> </w:t>
      </w:r>
      <w:r w:rsidRPr="00F262AF">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F262AF">
        <w:rPr>
          <w:rFonts w:ascii="Arial" w:hAnsi="Arial" w:cs="Arial"/>
          <w:color w:val="000000"/>
          <w:sz w:val="21"/>
          <w:szCs w:val="21"/>
          <w:shd w:val="clear" w:color="auto" w:fill="FFFFFF"/>
          <w:rtl/>
        </w:rPr>
        <w:t>ألغيت أحكام الفصول 21 و22 و23 و24 و25 من القانون عدد 81 لسنة 2002 المؤرخ في 3 أوت 2002 المتعلق بممارسة الأنشطة الخصوصية المتعلقة بالمراقبة والحراسة ونقل العملة والمعادن الثمينة والحماية البدنية للأشخاص</w:t>
      </w:r>
      <w:r w:rsidRPr="00F262AF">
        <w:rPr>
          <w:rFonts w:ascii="Arial" w:hAnsi="Arial" w:cs="Arial"/>
          <w:color w:val="000000"/>
          <w:sz w:val="21"/>
          <w:szCs w:val="21"/>
          <w:shd w:val="clear" w:color="auto" w:fill="FFFFFF"/>
        </w:rPr>
        <w:t>.</w:t>
      </w:r>
    </w:p>
    <w:p w14:paraId="2594A274" w14:textId="77777777" w:rsidR="005B3DA1" w:rsidRDefault="005B3DA1" w:rsidP="005B3DA1">
      <w:pPr>
        <w:bidi/>
        <w:spacing w:before="100" w:beforeAutospacing="1" w:after="0"/>
        <w:ind w:left="283"/>
        <w:jc w:val="both"/>
        <w:rPr>
          <w:rFonts w:ascii="Arial" w:hAnsi="Arial" w:cs="Arial" w:hint="cs"/>
          <w:color w:val="000000"/>
          <w:sz w:val="21"/>
          <w:szCs w:val="21"/>
          <w:rtl/>
        </w:rPr>
      </w:pPr>
      <w:r w:rsidRPr="00F262AF">
        <w:rPr>
          <w:rFonts w:ascii="Arial" w:hAnsi="Arial" w:cs="Arial"/>
          <w:color w:val="000000"/>
          <w:sz w:val="21"/>
          <w:szCs w:val="21"/>
          <w:shd w:val="clear" w:color="auto" w:fill="FFFFFF"/>
          <w:rtl/>
        </w:rPr>
        <w:t>ينشر هذا القانون بالرائد الرسمي للجمهورية التونسية وينفذ كقانون من قوانين الدولة</w:t>
      </w:r>
      <w:r w:rsidRPr="00F262AF">
        <w:rPr>
          <w:rFonts w:ascii="Arial" w:hAnsi="Arial" w:cs="Arial"/>
          <w:color w:val="000000"/>
          <w:sz w:val="21"/>
          <w:szCs w:val="21"/>
          <w:shd w:val="clear" w:color="auto" w:fill="FFFFFF"/>
        </w:rPr>
        <w:t>.</w:t>
      </w:r>
    </w:p>
    <w:p w14:paraId="5228F96E" w14:textId="77777777" w:rsidR="005B3DA1" w:rsidRPr="005B3DA1" w:rsidRDefault="005B3DA1" w:rsidP="005B3DA1">
      <w:pPr>
        <w:bidi/>
        <w:spacing w:before="100" w:beforeAutospacing="1" w:after="0"/>
        <w:ind w:left="283"/>
        <w:jc w:val="both"/>
        <w:rPr>
          <w:rFonts w:ascii="Arial" w:hAnsi="Arial" w:cs="Arial"/>
          <w:b/>
          <w:bCs/>
          <w:color w:val="000000"/>
          <w:sz w:val="21"/>
          <w:szCs w:val="21"/>
          <w:shd w:val="clear" w:color="auto" w:fill="FFFFFF"/>
          <w:rtl/>
        </w:rPr>
      </w:pPr>
      <w:r w:rsidRPr="005B3DA1">
        <w:rPr>
          <w:rFonts w:ascii="Arial" w:hAnsi="Arial" w:cs="Arial"/>
          <w:b/>
          <w:bCs/>
          <w:color w:val="000000"/>
          <w:sz w:val="21"/>
          <w:szCs w:val="21"/>
          <w:shd w:val="clear" w:color="auto" w:fill="FFFFFF"/>
          <w:rtl/>
        </w:rPr>
        <w:t xml:space="preserve">تونس </w:t>
      </w:r>
      <w:proofErr w:type="gramStart"/>
      <w:r w:rsidRPr="005B3DA1">
        <w:rPr>
          <w:rFonts w:ascii="Arial" w:hAnsi="Arial" w:cs="Arial"/>
          <w:b/>
          <w:bCs/>
          <w:color w:val="000000"/>
          <w:sz w:val="21"/>
          <w:szCs w:val="21"/>
          <w:shd w:val="clear" w:color="auto" w:fill="FFFFFF"/>
          <w:rtl/>
        </w:rPr>
        <w:t>في</w:t>
      </w:r>
      <w:proofErr w:type="gramEnd"/>
      <w:r w:rsidRPr="005B3DA1">
        <w:rPr>
          <w:rFonts w:ascii="Arial" w:hAnsi="Arial" w:cs="Arial"/>
          <w:b/>
          <w:bCs/>
          <w:color w:val="000000"/>
          <w:sz w:val="21"/>
          <w:szCs w:val="21"/>
          <w:shd w:val="clear" w:color="auto" w:fill="FFFFFF"/>
          <w:rtl/>
        </w:rPr>
        <w:t xml:space="preserve"> 18 فيفري 2008</w:t>
      </w:r>
      <w:r w:rsidRPr="005B3DA1">
        <w:rPr>
          <w:rFonts w:ascii="Arial" w:hAnsi="Arial" w:cs="Arial"/>
          <w:b/>
          <w:bCs/>
          <w:color w:val="000000"/>
          <w:sz w:val="21"/>
          <w:szCs w:val="21"/>
          <w:shd w:val="clear" w:color="auto" w:fill="FFFFFF"/>
        </w:rPr>
        <w:t>.</w:t>
      </w:r>
    </w:p>
    <w:p w14:paraId="59A3D800" w14:textId="7FCB1BB7" w:rsidR="00214CFF" w:rsidRPr="00F668BA" w:rsidRDefault="00214CFF" w:rsidP="005B3DA1">
      <w:pPr>
        <w:bidi/>
        <w:spacing w:before="100" w:beforeAutospacing="1" w:after="0"/>
        <w:ind w:left="283"/>
        <w:jc w:val="both"/>
        <w:rPr>
          <w:rFonts w:ascii="Arial" w:eastAsia="Calibri" w:hAnsi="Arial" w:cs="Arial" w:hint="cs"/>
          <w:b/>
          <w:bCs/>
          <w:color w:val="000000"/>
          <w:shd w:val="clear" w:color="auto" w:fill="FFFFFF"/>
          <w:rtl/>
          <w:lang w:eastAsia="en-US" w:bidi="ar-TN"/>
        </w:rPr>
      </w:pPr>
    </w:p>
    <w:sectPr w:rsidR="00214CFF" w:rsidRPr="00F668BA"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388" w14:textId="77777777" w:rsidR="00710469" w:rsidRDefault="00710469" w:rsidP="008F3F2D">
      <w:r>
        <w:separator/>
      </w:r>
    </w:p>
  </w:endnote>
  <w:endnote w:type="continuationSeparator" w:id="0">
    <w:p w14:paraId="1644E21F" w14:textId="77777777" w:rsidR="00710469" w:rsidRDefault="0071046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B3DA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B3DA1">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B3DA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B3DA1">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B3DA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B3DA1">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B3DA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B3DA1">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DD49" w14:textId="77777777" w:rsidR="00710469" w:rsidRDefault="00710469" w:rsidP="00696990">
      <w:pPr>
        <w:bidi/>
        <w:jc w:val="both"/>
      </w:pPr>
      <w:r>
        <w:separator/>
      </w:r>
    </w:p>
  </w:footnote>
  <w:footnote w:type="continuationSeparator" w:id="0">
    <w:p w14:paraId="0FED4923" w14:textId="77777777" w:rsidR="00710469" w:rsidRDefault="0071046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2D0F08"/>
    <w:multiLevelType w:val="hybridMultilevel"/>
    <w:tmpl w:val="A47EF7A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204C45F2"/>
    <w:multiLevelType w:val="hybridMultilevel"/>
    <w:tmpl w:val="3E28D05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26F71605"/>
    <w:multiLevelType w:val="hybridMultilevel"/>
    <w:tmpl w:val="0162550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nsid w:val="2A7D4A6B"/>
    <w:multiLevelType w:val="hybridMultilevel"/>
    <w:tmpl w:val="4B2AEB4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nsid w:val="367C7A64"/>
    <w:multiLevelType w:val="hybridMultilevel"/>
    <w:tmpl w:val="33303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4341E7"/>
    <w:multiLevelType w:val="hybridMultilevel"/>
    <w:tmpl w:val="185A76B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A1453D1"/>
    <w:multiLevelType w:val="hybridMultilevel"/>
    <w:tmpl w:val="904E627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E42414"/>
    <w:multiLevelType w:val="hybridMultilevel"/>
    <w:tmpl w:val="A19AFED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1"/>
  </w:num>
  <w:num w:numId="5">
    <w:abstractNumId w:val="17"/>
  </w:num>
  <w:num w:numId="6">
    <w:abstractNumId w:val="3"/>
  </w:num>
  <w:num w:numId="7">
    <w:abstractNumId w:val="15"/>
  </w:num>
  <w:num w:numId="8">
    <w:abstractNumId w:val="2"/>
  </w:num>
  <w:num w:numId="9">
    <w:abstractNumId w:val="0"/>
  </w:num>
  <w:num w:numId="10">
    <w:abstractNumId w:val="12"/>
  </w:num>
  <w:num w:numId="11">
    <w:abstractNumId w:val="11"/>
  </w:num>
  <w:num w:numId="12">
    <w:abstractNumId w:val="8"/>
  </w:num>
  <w:num w:numId="13">
    <w:abstractNumId w:val="18"/>
  </w:num>
  <w:num w:numId="14">
    <w:abstractNumId w:val="16"/>
  </w:num>
  <w:num w:numId="15">
    <w:abstractNumId w:val="13"/>
  </w:num>
  <w:num w:numId="16">
    <w:abstractNumId w:val="10"/>
  </w:num>
  <w:num w:numId="17">
    <w:abstractNumId w:val="5"/>
  </w:num>
  <w:num w:numId="18">
    <w:abstractNumId w:val="7"/>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B0D20"/>
    <w:rsid w:val="00146086"/>
    <w:rsid w:val="001E5DD5"/>
    <w:rsid w:val="00211881"/>
    <w:rsid w:val="00214CFF"/>
    <w:rsid w:val="002B19EE"/>
    <w:rsid w:val="00300E19"/>
    <w:rsid w:val="003040F9"/>
    <w:rsid w:val="00354137"/>
    <w:rsid w:val="003A76D7"/>
    <w:rsid w:val="003B6CD4"/>
    <w:rsid w:val="004851EE"/>
    <w:rsid w:val="004D03AF"/>
    <w:rsid w:val="004D4882"/>
    <w:rsid w:val="005024B7"/>
    <w:rsid w:val="005B3DA1"/>
    <w:rsid w:val="005F7BF4"/>
    <w:rsid w:val="00655356"/>
    <w:rsid w:val="00684129"/>
    <w:rsid w:val="00690191"/>
    <w:rsid w:val="00696990"/>
    <w:rsid w:val="006C103F"/>
    <w:rsid w:val="00710469"/>
    <w:rsid w:val="007244D3"/>
    <w:rsid w:val="0075404E"/>
    <w:rsid w:val="007722D9"/>
    <w:rsid w:val="007C6F68"/>
    <w:rsid w:val="007F729E"/>
    <w:rsid w:val="008016FB"/>
    <w:rsid w:val="0086081A"/>
    <w:rsid w:val="00867853"/>
    <w:rsid w:val="008D73A6"/>
    <w:rsid w:val="008F3F2D"/>
    <w:rsid w:val="00943045"/>
    <w:rsid w:val="00955067"/>
    <w:rsid w:val="00957F0E"/>
    <w:rsid w:val="0097472C"/>
    <w:rsid w:val="00A00644"/>
    <w:rsid w:val="00A04F09"/>
    <w:rsid w:val="00A054EF"/>
    <w:rsid w:val="00A81D8F"/>
    <w:rsid w:val="00A90F21"/>
    <w:rsid w:val="00AD2268"/>
    <w:rsid w:val="00B05438"/>
    <w:rsid w:val="00B617F1"/>
    <w:rsid w:val="00BE5233"/>
    <w:rsid w:val="00C1635D"/>
    <w:rsid w:val="00C44A17"/>
    <w:rsid w:val="00C64B86"/>
    <w:rsid w:val="00C70ED5"/>
    <w:rsid w:val="00C9512C"/>
    <w:rsid w:val="00CC4ADF"/>
    <w:rsid w:val="00D07749"/>
    <w:rsid w:val="00D17590"/>
    <w:rsid w:val="00D27C26"/>
    <w:rsid w:val="00DF2B42"/>
    <w:rsid w:val="00E10A35"/>
    <w:rsid w:val="00E953A2"/>
    <w:rsid w:val="00ED01E0"/>
    <w:rsid w:val="00F502A2"/>
    <w:rsid w:val="00F57B75"/>
    <w:rsid w:val="00F668BA"/>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2013-08-15T13:01:00Z</cp:lastPrinted>
  <dcterms:created xsi:type="dcterms:W3CDTF">2013-08-15T13:58:00Z</dcterms:created>
  <dcterms:modified xsi:type="dcterms:W3CDTF">2013-08-15T13:58:00Z</dcterms:modified>
</cp:coreProperties>
</file>