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4B758" w14:textId="77777777" w:rsidR="000F6E00" w:rsidRDefault="000F6E00" w:rsidP="000F6E00">
      <w:pPr>
        <w:spacing w:after="0" w:line="240" w:lineRule="auto"/>
        <w:ind w:left="284"/>
        <w:rPr>
          <w:rFonts w:ascii="Arial" w:hAnsi="Arial" w:cs="Arial"/>
          <w:sz w:val="20"/>
          <w:szCs w:val="20"/>
        </w:rPr>
      </w:pPr>
    </w:p>
    <w:p w14:paraId="4FF576CA" w14:textId="78BC4F4C" w:rsidR="00756087" w:rsidRDefault="002D2435" w:rsidP="00756087">
      <w:pPr>
        <w:pStyle w:val="Titre1"/>
        <w:shd w:val="clear" w:color="auto" w:fill="FFFFFF"/>
        <w:spacing w:after="0" w:afterAutospacing="0"/>
        <w:ind w:left="283"/>
        <w:rPr>
          <w:rFonts w:ascii="Arial" w:hAnsi="Arial" w:cs="Arial"/>
          <w:sz w:val="24"/>
          <w:szCs w:val="24"/>
        </w:rPr>
      </w:pPr>
      <w:r w:rsidRPr="00756087">
        <w:rPr>
          <w:rFonts w:ascii="Arial" w:hAnsi="Arial" w:cs="Arial"/>
          <w:sz w:val="24"/>
          <w:szCs w:val="24"/>
        </w:rPr>
        <w:t xml:space="preserve">Loi n° </w:t>
      </w:r>
      <w:r w:rsidR="00756087" w:rsidRPr="00756087">
        <w:rPr>
          <w:rFonts w:ascii="Arial" w:hAnsi="Arial" w:cs="Arial"/>
          <w:sz w:val="24"/>
          <w:szCs w:val="24"/>
        </w:rPr>
        <w:t>2005-106 du 19 décembre 2005 portant loi de finances pour l’année 2006</w:t>
      </w:r>
      <w:r w:rsidR="00756087">
        <w:rPr>
          <w:rStyle w:val="Appelnotedebasdep"/>
          <w:rFonts w:ascii="Arial" w:hAnsi="Arial" w:cs="Arial"/>
          <w:sz w:val="24"/>
          <w:szCs w:val="24"/>
        </w:rPr>
        <w:footnoteReference w:id="1"/>
      </w:r>
    </w:p>
    <w:p w14:paraId="7FFF4B2A" w14:textId="16DB1367" w:rsidR="002D2435" w:rsidRPr="00756087" w:rsidRDefault="002D2435" w:rsidP="00756087">
      <w:pPr>
        <w:pStyle w:val="Titre1"/>
        <w:shd w:val="clear" w:color="auto" w:fill="FFFFFF"/>
        <w:spacing w:after="0" w:afterAutospacing="0"/>
        <w:ind w:left="283"/>
        <w:jc w:val="center"/>
        <w:rPr>
          <w:rFonts w:ascii="Arial" w:hAnsi="Arial" w:cs="Arial"/>
          <w:color w:val="03419F"/>
          <w:sz w:val="32"/>
          <w:szCs w:val="32"/>
        </w:rPr>
      </w:pPr>
      <w:r w:rsidRPr="002D2435">
        <w:rPr>
          <w:rFonts w:ascii="Arial" w:hAnsi="Arial" w:cs="Arial"/>
          <w:sz w:val="20"/>
          <w:szCs w:val="20"/>
        </w:rPr>
        <w:t>Création du fonds de prévention des accidents</w:t>
      </w:r>
      <w:r>
        <w:rPr>
          <w:rFonts w:ascii="Arial" w:hAnsi="Arial" w:cs="Arial"/>
          <w:sz w:val="20"/>
          <w:szCs w:val="20"/>
        </w:rPr>
        <w:t xml:space="preserve"> </w:t>
      </w:r>
      <w:r w:rsidRPr="002D2435">
        <w:rPr>
          <w:rFonts w:ascii="Arial" w:hAnsi="Arial" w:cs="Arial"/>
          <w:sz w:val="20"/>
          <w:szCs w:val="20"/>
        </w:rPr>
        <w:t>de la circulation</w:t>
      </w:r>
    </w:p>
    <w:p w14:paraId="3BD770D7" w14:textId="64A2DFD3" w:rsidR="002D2435" w:rsidRPr="002D2435" w:rsidRDefault="00756087" w:rsidP="00756087">
      <w:pPr>
        <w:spacing w:before="100" w:beforeAutospacing="1" w:after="0" w:line="240" w:lineRule="auto"/>
        <w:ind w:left="283"/>
        <w:jc w:val="both"/>
        <w:rPr>
          <w:rFonts w:ascii="Arial" w:hAnsi="Arial" w:cs="Arial"/>
          <w:sz w:val="20"/>
          <w:szCs w:val="20"/>
        </w:rPr>
      </w:pPr>
      <w:r w:rsidRPr="00756087">
        <w:rPr>
          <w:rFonts w:ascii="Arial" w:hAnsi="Arial" w:cs="Arial"/>
          <w:b/>
          <w:bCs/>
          <w:i/>
          <w:iCs/>
          <w:sz w:val="20"/>
          <w:szCs w:val="20"/>
        </w:rPr>
        <w:t>Art. 19 –</w:t>
      </w:r>
      <w:r>
        <w:rPr>
          <w:rFonts w:ascii="Arial" w:hAnsi="Arial" w:cs="Arial"/>
          <w:sz w:val="20"/>
          <w:szCs w:val="20"/>
        </w:rPr>
        <w:t xml:space="preserve"> </w:t>
      </w:r>
      <w:r w:rsidR="002D2435" w:rsidRPr="002D2435">
        <w:rPr>
          <w:rFonts w:ascii="Arial" w:hAnsi="Arial" w:cs="Arial"/>
          <w:sz w:val="20"/>
          <w:szCs w:val="20"/>
        </w:rPr>
        <w:t xml:space="preserve">Est ouvert dans les écritures du Trésorier Général de Tunisie, un fonds spécial du trésor intitulé « fonds de prévention des accidents de la circulation» destiné au financement des opérations de prévention des accidents de la circulation dans le cadre de contrats programmes conclus avec les intervenants dans ce domaine. </w:t>
      </w:r>
    </w:p>
    <w:p w14:paraId="5310C17E" w14:textId="77777777" w:rsidR="002D2435" w:rsidRPr="002D2435" w:rsidRDefault="002D2435" w:rsidP="00756087">
      <w:pPr>
        <w:spacing w:before="100" w:beforeAutospacing="1" w:after="0" w:line="240" w:lineRule="auto"/>
        <w:ind w:left="283"/>
        <w:jc w:val="both"/>
        <w:rPr>
          <w:rFonts w:ascii="Arial" w:hAnsi="Arial" w:cs="Arial"/>
          <w:sz w:val="20"/>
          <w:szCs w:val="20"/>
        </w:rPr>
      </w:pPr>
      <w:r w:rsidRPr="002D2435">
        <w:rPr>
          <w:rFonts w:ascii="Arial" w:hAnsi="Arial" w:cs="Arial"/>
          <w:sz w:val="20"/>
          <w:szCs w:val="20"/>
        </w:rPr>
        <w:t>Les modalités d’intervention et le mode de fonctionnement du fonds de prévention des accidents de la circulation sont fixés par décret.</w:t>
      </w:r>
    </w:p>
    <w:p w14:paraId="44DBF35D" w14:textId="77777777" w:rsidR="002D2435" w:rsidRPr="002D2435" w:rsidRDefault="002D2435" w:rsidP="00756087">
      <w:pPr>
        <w:spacing w:before="100" w:beforeAutospacing="1" w:after="0" w:line="240" w:lineRule="auto"/>
        <w:ind w:left="283"/>
        <w:jc w:val="both"/>
        <w:rPr>
          <w:rFonts w:ascii="Arial" w:hAnsi="Arial" w:cs="Arial"/>
          <w:sz w:val="20"/>
          <w:szCs w:val="20"/>
        </w:rPr>
      </w:pPr>
      <w:r w:rsidRPr="002D2435">
        <w:rPr>
          <w:rFonts w:ascii="Arial" w:hAnsi="Arial" w:cs="Arial"/>
          <w:sz w:val="20"/>
          <w:szCs w:val="20"/>
        </w:rPr>
        <w:t>Le ministre de l’intérieur et du développement local est l’ordonnateur de ce fonds. Les dépenses dudit fonds ont un caractère évaluatif.</w:t>
      </w:r>
    </w:p>
    <w:p w14:paraId="516C248A" w14:textId="77777777" w:rsidR="00756087" w:rsidRDefault="00756087" w:rsidP="00756087">
      <w:pPr>
        <w:spacing w:before="100" w:beforeAutospacing="1" w:after="0" w:line="240" w:lineRule="auto"/>
        <w:ind w:left="283"/>
        <w:jc w:val="both"/>
        <w:rPr>
          <w:rFonts w:ascii="Arial" w:hAnsi="Arial" w:cs="Arial"/>
          <w:sz w:val="20"/>
          <w:szCs w:val="20"/>
        </w:rPr>
      </w:pPr>
      <w:r w:rsidRPr="00756087">
        <w:rPr>
          <w:rFonts w:ascii="Arial" w:hAnsi="Arial" w:cs="Arial"/>
          <w:b/>
          <w:bCs/>
          <w:i/>
          <w:iCs/>
          <w:sz w:val="20"/>
          <w:szCs w:val="20"/>
        </w:rPr>
        <w:t>Art. 20 –</w:t>
      </w:r>
      <w:r>
        <w:rPr>
          <w:rFonts w:ascii="Arial" w:hAnsi="Arial" w:cs="Arial"/>
          <w:sz w:val="20"/>
          <w:szCs w:val="20"/>
        </w:rPr>
        <w:t xml:space="preserve"> </w:t>
      </w:r>
      <w:r w:rsidR="002D2435" w:rsidRPr="002D2435">
        <w:rPr>
          <w:rFonts w:ascii="Arial" w:hAnsi="Arial" w:cs="Arial"/>
          <w:sz w:val="20"/>
          <w:szCs w:val="20"/>
        </w:rPr>
        <w:t xml:space="preserve">Le fonds de prévention des accidents de </w:t>
      </w:r>
      <w:r>
        <w:rPr>
          <w:rFonts w:ascii="Arial" w:hAnsi="Arial" w:cs="Arial"/>
          <w:sz w:val="20"/>
          <w:szCs w:val="20"/>
        </w:rPr>
        <w:t>la circulation est financé par :</w:t>
      </w:r>
    </w:p>
    <w:p w14:paraId="6D78C730" w14:textId="77777777" w:rsidR="00756087" w:rsidRDefault="002D2435" w:rsidP="00756087">
      <w:pPr>
        <w:pStyle w:val="Paragraphedeliste"/>
        <w:numPr>
          <w:ilvl w:val="0"/>
          <w:numId w:val="25"/>
        </w:numPr>
        <w:spacing w:before="100" w:beforeAutospacing="1" w:after="0" w:line="240" w:lineRule="auto"/>
        <w:ind w:left="927"/>
        <w:jc w:val="both"/>
        <w:rPr>
          <w:rFonts w:ascii="Arial" w:hAnsi="Arial" w:cs="Arial"/>
          <w:sz w:val="20"/>
          <w:szCs w:val="20"/>
        </w:rPr>
      </w:pPr>
      <w:r w:rsidRPr="00756087">
        <w:rPr>
          <w:rFonts w:ascii="Arial" w:hAnsi="Arial" w:cs="Arial"/>
          <w:sz w:val="20"/>
          <w:szCs w:val="20"/>
        </w:rPr>
        <w:t>La contribution des entreprises d’assurances agréées pour pratiquer l’assurance de la responsabilité civile du fait de l’usage des véhicules terrestres à moteur et leurs remorques mentionnés à l’article 110 du code des assurances,</w:t>
      </w:r>
    </w:p>
    <w:p w14:paraId="5345D315" w14:textId="77777777" w:rsidR="00756087" w:rsidRDefault="002D2435" w:rsidP="00756087">
      <w:pPr>
        <w:pStyle w:val="Paragraphedeliste"/>
        <w:numPr>
          <w:ilvl w:val="0"/>
          <w:numId w:val="25"/>
        </w:numPr>
        <w:spacing w:before="100" w:beforeAutospacing="1" w:after="0" w:line="240" w:lineRule="auto"/>
        <w:ind w:left="927"/>
        <w:jc w:val="both"/>
        <w:rPr>
          <w:rFonts w:ascii="Arial" w:hAnsi="Arial" w:cs="Arial"/>
          <w:sz w:val="20"/>
          <w:szCs w:val="20"/>
        </w:rPr>
      </w:pPr>
      <w:r w:rsidRPr="00756087">
        <w:rPr>
          <w:rFonts w:ascii="Arial" w:hAnsi="Arial" w:cs="Arial"/>
          <w:sz w:val="20"/>
          <w:szCs w:val="20"/>
        </w:rPr>
        <w:t>La contribution des assurés,</w:t>
      </w:r>
    </w:p>
    <w:p w14:paraId="7A9DB24F" w14:textId="77777777" w:rsidR="00756087" w:rsidRDefault="002D2435" w:rsidP="00756087">
      <w:pPr>
        <w:pStyle w:val="Paragraphedeliste"/>
        <w:numPr>
          <w:ilvl w:val="0"/>
          <w:numId w:val="25"/>
        </w:numPr>
        <w:spacing w:before="100" w:beforeAutospacing="1" w:after="0" w:line="240" w:lineRule="auto"/>
        <w:ind w:left="927"/>
        <w:jc w:val="both"/>
        <w:rPr>
          <w:rFonts w:ascii="Arial" w:hAnsi="Arial" w:cs="Arial"/>
          <w:sz w:val="20"/>
          <w:szCs w:val="20"/>
        </w:rPr>
      </w:pPr>
      <w:r w:rsidRPr="00756087">
        <w:rPr>
          <w:rFonts w:ascii="Arial" w:hAnsi="Arial" w:cs="Arial"/>
          <w:sz w:val="20"/>
          <w:szCs w:val="20"/>
        </w:rPr>
        <w:t>Les montants des amendes prévues par les articles 113, 115 et 159 du code des assurances,</w:t>
      </w:r>
    </w:p>
    <w:p w14:paraId="006856FB" w14:textId="77777777" w:rsidR="00756087" w:rsidRDefault="002D2435" w:rsidP="00756087">
      <w:pPr>
        <w:pStyle w:val="Paragraphedeliste"/>
        <w:numPr>
          <w:ilvl w:val="0"/>
          <w:numId w:val="25"/>
        </w:numPr>
        <w:spacing w:before="100" w:beforeAutospacing="1" w:after="0" w:line="240" w:lineRule="auto"/>
        <w:ind w:left="927"/>
        <w:jc w:val="both"/>
        <w:rPr>
          <w:rFonts w:ascii="Arial" w:hAnsi="Arial" w:cs="Arial"/>
          <w:sz w:val="20"/>
          <w:szCs w:val="20"/>
        </w:rPr>
      </w:pPr>
      <w:r w:rsidRPr="00756087">
        <w:rPr>
          <w:rFonts w:ascii="Arial" w:hAnsi="Arial" w:cs="Arial"/>
          <w:sz w:val="20"/>
          <w:szCs w:val="20"/>
        </w:rPr>
        <w:t>Les dons, legs et tous autres produits provenant des interventions du fonds,</w:t>
      </w:r>
    </w:p>
    <w:p w14:paraId="782D8AD4" w14:textId="3DDD957A" w:rsidR="002D2435" w:rsidRPr="00756087" w:rsidRDefault="002D2435" w:rsidP="00756087">
      <w:pPr>
        <w:pStyle w:val="Paragraphedeliste"/>
        <w:numPr>
          <w:ilvl w:val="0"/>
          <w:numId w:val="25"/>
        </w:numPr>
        <w:spacing w:before="100" w:beforeAutospacing="1" w:after="0" w:line="240" w:lineRule="auto"/>
        <w:ind w:left="927"/>
        <w:jc w:val="both"/>
        <w:rPr>
          <w:rFonts w:ascii="Arial" w:hAnsi="Arial" w:cs="Arial"/>
          <w:sz w:val="20"/>
          <w:szCs w:val="20"/>
        </w:rPr>
      </w:pPr>
      <w:r w:rsidRPr="00756087">
        <w:rPr>
          <w:rFonts w:ascii="Arial" w:hAnsi="Arial" w:cs="Arial"/>
          <w:sz w:val="20"/>
          <w:szCs w:val="20"/>
        </w:rPr>
        <w:t>Les autres ressources qui peuvent lui être affectées en vertu de la législation en vigueur.</w:t>
      </w:r>
    </w:p>
    <w:p w14:paraId="0633ECFE" w14:textId="77777777" w:rsidR="002D2435" w:rsidRPr="002D2435" w:rsidRDefault="002D2435" w:rsidP="00756087">
      <w:pPr>
        <w:spacing w:before="100" w:beforeAutospacing="1" w:after="0" w:line="240" w:lineRule="auto"/>
        <w:ind w:left="283"/>
        <w:jc w:val="both"/>
        <w:rPr>
          <w:rFonts w:ascii="Arial" w:hAnsi="Arial" w:cs="Arial"/>
          <w:sz w:val="20"/>
          <w:szCs w:val="20"/>
        </w:rPr>
      </w:pPr>
      <w:r w:rsidRPr="002D2435">
        <w:rPr>
          <w:rFonts w:ascii="Arial" w:hAnsi="Arial" w:cs="Arial"/>
          <w:sz w:val="20"/>
          <w:szCs w:val="20"/>
        </w:rPr>
        <w:t>Sont applicables à la contribution des entreprises d'assurances et à la contribution des assurés créées en vertu du présent article, les mêmes règles afférentes à la taxe unique sur les assurances en matière de contrôle, de recouvrement, des obligations, de constatation des infractions, de sanctions, de contentieux, de prescription et de restitution.</w:t>
      </w:r>
    </w:p>
    <w:p w14:paraId="2F496330" w14:textId="11177710" w:rsidR="000F6E00" w:rsidRPr="003A154F" w:rsidRDefault="002D2435" w:rsidP="00756087">
      <w:pPr>
        <w:spacing w:before="100" w:beforeAutospacing="1" w:after="0" w:line="240" w:lineRule="auto"/>
        <w:ind w:left="283"/>
        <w:jc w:val="both"/>
        <w:rPr>
          <w:rFonts w:ascii="Arial" w:hAnsi="Arial" w:cs="Arial"/>
          <w:b/>
          <w:bCs/>
          <w:sz w:val="20"/>
          <w:szCs w:val="20"/>
        </w:rPr>
      </w:pPr>
      <w:r w:rsidRPr="002D2435">
        <w:rPr>
          <w:rFonts w:ascii="Arial" w:hAnsi="Arial" w:cs="Arial"/>
          <w:sz w:val="20"/>
          <w:szCs w:val="20"/>
        </w:rPr>
        <w:t>L’assiette et les taux des contributions sont fixés par décret.</w:t>
      </w:r>
    </w:p>
    <w:sectPr w:rsidR="000F6E00" w:rsidRPr="003A154F"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99391" w14:textId="77777777" w:rsidR="00BF52C2" w:rsidRDefault="00BF52C2" w:rsidP="008F3F2D">
      <w:r>
        <w:separator/>
      </w:r>
    </w:p>
  </w:endnote>
  <w:endnote w:type="continuationSeparator" w:id="0">
    <w:p w14:paraId="06221BAE" w14:textId="77777777" w:rsidR="00BF52C2" w:rsidRDefault="00BF52C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243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243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243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243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5608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5608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5608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5608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3594C" w14:textId="77777777" w:rsidR="00BF52C2" w:rsidRDefault="00BF52C2" w:rsidP="008F3F2D">
      <w:r>
        <w:separator/>
      </w:r>
    </w:p>
  </w:footnote>
  <w:footnote w:type="continuationSeparator" w:id="0">
    <w:p w14:paraId="6F73D51E" w14:textId="77777777" w:rsidR="00BF52C2" w:rsidRDefault="00BF52C2" w:rsidP="008F3F2D">
      <w:r>
        <w:continuationSeparator/>
      </w:r>
    </w:p>
  </w:footnote>
  <w:footnote w:id="1">
    <w:p w14:paraId="6B3B0700" w14:textId="72233304" w:rsidR="00756087" w:rsidRPr="00756087" w:rsidRDefault="00756087" w:rsidP="00756087">
      <w:pPr>
        <w:pStyle w:val="Notedebasdepage"/>
        <w:jc w:val="both"/>
        <w:rPr>
          <w:rFonts w:ascii="Arial" w:hAnsi="Arial" w:cs="Arial"/>
          <w:sz w:val="18"/>
          <w:szCs w:val="18"/>
        </w:rPr>
      </w:pPr>
      <w:r>
        <w:rPr>
          <w:rStyle w:val="Appelnotedebasdep"/>
        </w:rPr>
        <w:footnoteRef/>
      </w:r>
      <w:r>
        <w:t xml:space="preserve"> </w:t>
      </w:r>
      <w:r w:rsidRPr="00756087">
        <w:rPr>
          <w:rFonts w:ascii="Arial" w:hAnsi="Arial" w:cs="Arial"/>
          <w:sz w:val="18"/>
          <w:szCs w:val="18"/>
        </w:rPr>
        <w:t>Extrait de la loi n° 2005-106 du 19 décembre 2005 portant l</w:t>
      </w:r>
      <w:bookmarkStart w:id="0" w:name="_GoBack"/>
      <w:bookmarkEnd w:id="0"/>
      <w:r w:rsidRPr="00756087">
        <w:rPr>
          <w:rFonts w:ascii="Arial" w:hAnsi="Arial" w:cs="Arial"/>
          <w:sz w:val="18"/>
          <w:szCs w:val="18"/>
        </w:rPr>
        <w:t>oi de finances pour l’année 2006</w:t>
      </w:r>
      <w:r>
        <w:rPr>
          <w:rFonts w:ascii="Arial" w:hAnsi="Arial" w:cs="Arial"/>
          <w:sz w:val="18"/>
          <w:szCs w:val="18"/>
        </w:rPr>
        <w:t xml:space="preserve"> relatif</w:t>
      </w:r>
      <w:r w:rsidRPr="00756087">
        <w:t xml:space="preserve"> </w:t>
      </w:r>
      <w:r>
        <w:rPr>
          <w:rFonts w:ascii="Arial" w:hAnsi="Arial" w:cs="Arial"/>
          <w:sz w:val="18"/>
          <w:szCs w:val="18"/>
        </w:rPr>
        <w:t>à la c</w:t>
      </w:r>
      <w:r w:rsidRPr="00756087">
        <w:rPr>
          <w:rFonts w:ascii="Arial" w:hAnsi="Arial" w:cs="Arial"/>
          <w:sz w:val="18"/>
          <w:szCs w:val="18"/>
        </w:rPr>
        <w:t>réation du fonds de prévention des accidents de la circulation</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43C7C81"/>
    <w:multiLevelType w:val="hybridMultilevel"/>
    <w:tmpl w:val="8C9CB022"/>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2B34C0"/>
    <w:multiLevelType w:val="hybridMultilevel"/>
    <w:tmpl w:val="E1FC39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A4797A"/>
    <w:multiLevelType w:val="hybridMultilevel"/>
    <w:tmpl w:val="41163C2A"/>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1D5319B"/>
    <w:multiLevelType w:val="hybridMultilevel"/>
    <w:tmpl w:val="9490035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22"/>
  </w:num>
  <w:num w:numId="4">
    <w:abstractNumId w:val="7"/>
  </w:num>
  <w:num w:numId="5">
    <w:abstractNumId w:val="20"/>
  </w:num>
  <w:num w:numId="6">
    <w:abstractNumId w:val="24"/>
  </w:num>
  <w:num w:numId="7">
    <w:abstractNumId w:val="14"/>
  </w:num>
  <w:num w:numId="8">
    <w:abstractNumId w:val="1"/>
  </w:num>
  <w:num w:numId="9">
    <w:abstractNumId w:val="13"/>
  </w:num>
  <w:num w:numId="10">
    <w:abstractNumId w:val="12"/>
  </w:num>
  <w:num w:numId="11">
    <w:abstractNumId w:val="5"/>
  </w:num>
  <w:num w:numId="12">
    <w:abstractNumId w:val="23"/>
  </w:num>
  <w:num w:numId="13">
    <w:abstractNumId w:val="4"/>
  </w:num>
  <w:num w:numId="14">
    <w:abstractNumId w:val="21"/>
  </w:num>
  <w:num w:numId="15">
    <w:abstractNumId w:val="2"/>
  </w:num>
  <w:num w:numId="16">
    <w:abstractNumId w:val="10"/>
  </w:num>
  <w:num w:numId="17">
    <w:abstractNumId w:val="8"/>
  </w:num>
  <w:num w:numId="18">
    <w:abstractNumId w:val="18"/>
  </w:num>
  <w:num w:numId="19">
    <w:abstractNumId w:val="17"/>
  </w:num>
  <w:num w:numId="20">
    <w:abstractNumId w:val="9"/>
  </w:num>
  <w:num w:numId="21">
    <w:abstractNumId w:val="19"/>
  </w:num>
  <w:num w:numId="22">
    <w:abstractNumId w:val="15"/>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D1D98"/>
    <w:rsid w:val="001E5DD5"/>
    <w:rsid w:val="001E6787"/>
    <w:rsid w:val="001F5E92"/>
    <w:rsid w:val="0020398F"/>
    <w:rsid w:val="00250F9A"/>
    <w:rsid w:val="0026668B"/>
    <w:rsid w:val="00275509"/>
    <w:rsid w:val="002A1506"/>
    <w:rsid w:val="002B19EE"/>
    <w:rsid w:val="002B3A7C"/>
    <w:rsid w:val="002D2435"/>
    <w:rsid w:val="00354137"/>
    <w:rsid w:val="003A154F"/>
    <w:rsid w:val="003A3FD8"/>
    <w:rsid w:val="003B6CD4"/>
    <w:rsid w:val="003E4396"/>
    <w:rsid w:val="004378CB"/>
    <w:rsid w:val="00440F78"/>
    <w:rsid w:val="00503E5A"/>
    <w:rsid w:val="00560EC8"/>
    <w:rsid w:val="0057192A"/>
    <w:rsid w:val="00584322"/>
    <w:rsid w:val="00595DBD"/>
    <w:rsid w:val="005F7BF4"/>
    <w:rsid w:val="00684129"/>
    <w:rsid w:val="006C6E15"/>
    <w:rsid w:val="0071652F"/>
    <w:rsid w:val="007244D3"/>
    <w:rsid w:val="0075404E"/>
    <w:rsid w:val="00756087"/>
    <w:rsid w:val="007E7F34"/>
    <w:rsid w:val="0083624C"/>
    <w:rsid w:val="0089552E"/>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BF52C2"/>
    <w:rsid w:val="00C01F07"/>
    <w:rsid w:val="00C1635D"/>
    <w:rsid w:val="00C61994"/>
    <w:rsid w:val="00C64B86"/>
    <w:rsid w:val="00CA3849"/>
    <w:rsid w:val="00CA3D64"/>
    <w:rsid w:val="00CA544B"/>
    <w:rsid w:val="00CA5645"/>
    <w:rsid w:val="00CA73E8"/>
    <w:rsid w:val="00CC4ADF"/>
    <w:rsid w:val="00D07749"/>
    <w:rsid w:val="00D61667"/>
    <w:rsid w:val="00DC4590"/>
    <w:rsid w:val="00DE1C1F"/>
    <w:rsid w:val="00E04629"/>
    <w:rsid w:val="00E10A35"/>
    <w:rsid w:val="00E5607F"/>
    <w:rsid w:val="00E953A2"/>
    <w:rsid w:val="00EB02BA"/>
    <w:rsid w:val="00F206D6"/>
    <w:rsid w:val="00F57B75"/>
    <w:rsid w:val="00F9740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link w:val="Titre1Car"/>
    <w:uiPriority w:val="9"/>
    <w:qFormat/>
    <w:rsid w:val="00756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0F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0F9A"/>
    <w:rPr>
      <w:sz w:val="20"/>
      <w:szCs w:val="20"/>
      <w:lang w:val="fr-FR" w:eastAsia="fr-FR"/>
    </w:rPr>
  </w:style>
  <w:style w:type="character" w:customStyle="1" w:styleId="Titre1Car">
    <w:name w:val="Titre 1 Car"/>
    <w:basedOn w:val="Policepardfaut"/>
    <w:link w:val="Titre1"/>
    <w:uiPriority w:val="9"/>
    <w:rsid w:val="00756087"/>
    <w:rPr>
      <w:rFonts w:ascii="Times New Roman" w:eastAsia="Times New Roman" w:hAnsi="Times New Roman" w:cs="Times New Roman"/>
      <w:b/>
      <w:bCs/>
      <w:kern w:val="36"/>
      <w:sz w:val="48"/>
      <w:szCs w:val="4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link w:val="Titre1Car"/>
    <w:uiPriority w:val="9"/>
    <w:qFormat/>
    <w:rsid w:val="00756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0F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0F9A"/>
    <w:rPr>
      <w:sz w:val="20"/>
      <w:szCs w:val="20"/>
      <w:lang w:val="fr-FR" w:eastAsia="fr-FR"/>
    </w:rPr>
  </w:style>
  <w:style w:type="character" w:customStyle="1" w:styleId="Titre1Car">
    <w:name w:val="Titre 1 Car"/>
    <w:basedOn w:val="Policepardfaut"/>
    <w:link w:val="Titre1"/>
    <w:uiPriority w:val="9"/>
    <w:rsid w:val="00756087"/>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E4CB-9CF5-477F-BFE9-77B76923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2015-03-11T15:55:00Z</cp:lastPrinted>
  <dcterms:created xsi:type="dcterms:W3CDTF">2015-03-11T16:18:00Z</dcterms:created>
  <dcterms:modified xsi:type="dcterms:W3CDTF">2015-03-11T16:18:00Z</dcterms:modified>
</cp:coreProperties>
</file>