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p w14:paraId="53FAF348" w14:textId="77777777" w:rsidR="00C46C2C" w:rsidRPr="00C46C2C" w:rsidRDefault="00C46C2C" w:rsidP="00C46C2C">
      <w:pPr>
        <w:widowControl w:val="0"/>
        <w:autoSpaceDE w:val="0"/>
        <w:autoSpaceDN w:val="0"/>
        <w:adjustRightInd w:val="0"/>
        <w:spacing w:before="100" w:beforeAutospacing="1" w:after="0" w:line="240" w:lineRule="auto"/>
        <w:ind w:left="283"/>
        <w:jc w:val="both"/>
        <w:rPr>
          <w:rFonts w:ascii="Arial" w:eastAsia="Times New Roman" w:hAnsi="Arial" w:cs="Arial"/>
          <w:sz w:val="24"/>
          <w:szCs w:val="24"/>
          <w:lang w:eastAsia="de-DE"/>
        </w:rPr>
      </w:pPr>
      <w:r w:rsidRPr="00C46C2C">
        <w:rPr>
          <w:rFonts w:ascii="Arial" w:eastAsia="Times New Roman" w:hAnsi="Arial" w:cs="Arial"/>
          <w:b/>
          <w:sz w:val="24"/>
          <w:szCs w:val="24"/>
          <w:lang w:eastAsia="de-DE"/>
        </w:rPr>
        <w:t>Loi n° 2002-17 du 14 février 2002, autorisant l'adhésion de la République Tunisienne à la convention internationale pour la répression des attentats terroristes à l'explosif</w:t>
      </w:r>
    </w:p>
    <w:p w14:paraId="5D53FA21" w14:textId="77777777" w:rsidR="00C46C2C" w:rsidRPr="00C46C2C" w:rsidRDefault="00C46C2C" w:rsidP="00C46C2C">
      <w:pPr>
        <w:widowControl w:val="0"/>
        <w:autoSpaceDE w:val="0"/>
        <w:autoSpaceDN w:val="0"/>
        <w:adjustRightInd w:val="0"/>
        <w:spacing w:before="100" w:beforeAutospacing="1" w:after="0" w:line="240" w:lineRule="auto"/>
        <w:ind w:left="283"/>
        <w:jc w:val="both"/>
        <w:rPr>
          <w:rFonts w:ascii="Arial" w:eastAsia="Times New Roman" w:hAnsi="Arial" w:cs="Arial"/>
          <w:sz w:val="24"/>
          <w:szCs w:val="24"/>
          <w:lang w:eastAsia="de-DE"/>
        </w:rPr>
      </w:pPr>
      <w:r w:rsidRPr="00C46C2C">
        <w:rPr>
          <w:rFonts w:ascii="Arial" w:eastAsia="Times New Roman" w:hAnsi="Arial" w:cs="Arial"/>
          <w:sz w:val="20"/>
          <w:szCs w:val="20"/>
          <w:lang w:eastAsia="de-DE"/>
        </w:rPr>
        <w:t>Au nom du peuple,</w:t>
      </w:r>
    </w:p>
    <w:p w14:paraId="79AFB02E" w14:textId="77777777" w:rsidR="00C46C2C" w:rsidRPr="00C46C2C" w:rsidRDefault="00C46C2C" w:rsidP="00C46C2C">
      <w:pPr>
        <w:widowControl w:val="0"/>
        <w:autoSpaceDE w:val="0"/>
        <w:autoSpaceDN w:val="0"/>
        <w:adjustRightInd w:val="0"/>
        <w:spacing w:before="100" w:beforeAutospacing="1" w:after="0" w:line="240" w:lineRule="auto"/>
        <w:ind w:left="283"/>
        <w:jc w:val="both"/>
        <w:rPr>
          <w:rFonts w:ascii="Arial" w:eastAsia="Times New Roman" w:hAnsi="Arial" w:cs="Arial"/>
          <w:sz w:val="24"/>
          <w:szCs w:val="24"/>
          <w:lang w:eastAsia="de-DE"/>
        </w:rPr>
      </w:pPr>
      <w:r w:rsidRPr="00C46C2C">
        <w:rPr>
          <w:rFonts w:ascii="Arial" w:eastAsia="Times New Roman" w:hAnsi="Arial" w:cs="Arial"/>
          <w:sz w:val="20"/>
          <w:szCs w:val="20"/>
          <w:lang w:eastAsia="de-DE"/>
        </w:rPr>
        <w:t>La chambre des députés ayant adopté,</w:t>
      </w:r>
    </w:p>
    <w:p w14:paraId="6406E000" w14:textId="77777777" w:rsidR="00C46C2C" w:rsidRPr="00C46C2C" w:rsidRDefault="00C46C2C" w:rsidP="00C46C2C">
      <w:pPr>
        <w:widowControl w:val="0"/>
        <w:autoSpaceDE w:val="0"/>
        <w:autoSpaceDN w:val="0"/>
        <w:adjustRightInd w:val="0"/>
        <w:spacing w:before="100" w:beforeAutospacing="1" w:after="0" w:line="240" w:lineRule="auto"/>
        <w:ind w:left="283"/>
        <w:jc w:val="both"/>
        <w:rPr>
          <w:rFonts w:ascii="Arial" w:eastAsia="Times New Roman" w:hAnsi="Arial" w:cs="Arial"/>
          <w:sz w:val="24"/>
          <w:szCs w:val="24"/>
          <w:lang w:eastAsia="de-DE"/>
        </w:rPr>
      </w:pPr>
      <w:r w:rsidRPr="00C46C2C">
        <w:rPr>
          <w:rFonts w:ascii="Arial" w:eastAsia="Times New Roman" w:hAnsi="Arial" w:cs="Arial"/>
          <w:sz w:val="20"/>
          <w:szCs w:val="20"/>
          <w:lang w:eastAsia="de-DE"/>
        </w:rPr>
        <w:t>Le Président de la République promulgue la loi dont la teneur suit :</w:t>
      </w:r>
    </w:p>
    <w:p w14:paraId="76CC539D" w14:textId="5E05FE32" w:rsidR="00C46C2C" w:rsidRPr="00C46C2C" w:rsidRDefault="00C46C2C" w:rsidP="00C46C2C">
      <w:pPr>
        <w:widowControl w:val="0"/>
        <w:autoSpaceDE w:val="0"/>
        <w:autoSpaceDN w:val="0"/>
        <w:adjustRightInd w:val="0"/>
        <w:spacing w:before="100" w:beforeAutospacing="1" w:after="0" w:line="240" w:lineRule="auto"/>
        <w:ind w:left="283"/>
        <w:jc w:val="both"/>
        <w:rPr>
          <w:rFonts w:ascii="Arial" w:eastAsia="Times New Roman" w:hAnsi="Arial" w:cs="Arial"/>
          <w:sz w:val="20"/>
          <w:szCs w:val="20"/>
          <w:lang w:eastAsia="de-DE"/>
        </w:rPr>
      </w:pPr>
      <w:r w:rsidRPr="00C46C2C">
        <w:rPr>
          <w:rFonts w:ascii="Arial" w:eastAsia="Times New Roman" w:hAnsi="Arial" w:cs="Arial"/>
          <w:b/>
          <w:bCs/>
          <w:i/>
          <w:iCs/>
          <w:sz w:val="20"/>
          <w:szCs w:val="20"/>
          <w:lang w:eastAsia="de-DE"/>
        </w:rPr>
        <w:t>Article premier –</w:t>
      </w:r>
      <w:r w:rsidRPr="00C46C2C">
        <w:rPr>
          <w:rFonts w:ascii="Arial" w:eastAsia="Times New Roman" w:hAnsi="Arial" w:cs="Arial"/>
          <w:sz w:val="20"/>
          <w:szCs w:val="20"/>
          <w:lang w:eastAsia="de-DE"/>
        </w:rPr>
        <w:t xml:space="preserve"> Est autorisée, l'adhésion de la République Tunisienne à la convention internationale pour la répression des </w:t>
      </w:r>
      <w:r w:rsidRPr="00C46C2C">
        <w:rPr>
          <w:rFonts w:ascii="Arial" w:eastAsia="Times New Roman" w:hAnsi="Arial" w:cs="Arial"/>
          <w:sz w:val="20"/>
          <w:szCs w:val="20"/>
          <w:lang w:eastAsia="de-DE"/>
        </w:rPr>
        <w:t>attentats</w:t>
      </w:r>
      <w:bookmarkStart w:id="0" w:name="_GoBack"/>
      <w:bookmarkEnd w:id="0"/>
      <w:r w:rsidRPr="00C46C2C">
        <w:rPr>
          <w:rFonts w:ascii="Arial" w:eastAsia="Times New Roman" w:hAnsi="Arial" w:cs="Arial"/>
          <w:sz w:val="20"/>
          <w:szCs w:val="20"/>
          <w:lang w:eastAsia="de-DE"/>
        </w:rPr>
        <w:t xml:space="preserve"> terroristes à l'explosif, annexée à la présente loi et adoptée par l'assemblée générale des Nations Unies le 15 décembre 1997.</w:t>
      </w:r>
    </w:p>
    <w:p w14:paraId="17B0924B" w14:textId="77777777" w:rsidR="00C46C2C" w:rsidRPr="00C46C2C" w:rsidRDefault="00C46C2C" w:rsidP="00C46C2C">
      <w:pPr>
        <w:widowControl w:val="0"/>
        <w:autoSpaceDE w:val="0"/>
        <w:autoSpaceDN w:val="0"/>
        <w:adjustRightInd w:val="0"/>
        <w:spacing w:before="100" w:beforeAutospacing="1" w:after="0" w:line="240" w:lineRule="auto"/>
        <w:ind w:left="283"/>
        <w:jc w:val="both"/>
        <w:rPr>
          <w:rFonts w:ascii="Arial" w:eastAsia="Times New Roman" w:hAnsi="Arial" w:cs="Arial"/>
          <w:b/>
          <w:bCs/>
          <w:i/>
          <w:iCs/>
          <w:sz w:val="20"/>
          <w:szCs w:val="20"/>
          <w:lang w:eastAsia="de-DE"/>
        </w:rPr>
      </w:pPr>
      <w:r w:rsidRPr="00C46C2C">
        <w:rPr>
          <w:rFonts w:ascii="Arial" w:eastAsia="Times New Roman" w:hAnsi="Arial" w:cs="Arial"/>
          <w:b/>
          <w:bCs/>
          <w:i/>
          <w:iCs/>
          <w:sz w:val="20"/>
          <w:szCs w:val="20"/>
          <w:lang w:eastAsia="de-DE"/>
        </w:rPr>
        <w:t>Art. 2 – (Déclaration)</w:t>
      </w:r>
    </w:p>
    <w:p w14:paraId="6BE8FC11" w14:textId="77777777" w:rsidR="00C46C2C" w:rsidRPr="00C46C2C" w:rsidRDefault="00C46C2C" w:rsidP="00C46C2C">
      <w:pPr>
        <w:widowControl w:val="0"/>
        <w:autoSpaceDE w:val="0"/>
        <w:autoSpaceDN w:val="0"/>
        <w:adjustRightInd w:val="0"/>
        <w:spacing w:before="100" w:beforeAutospacing="1" w:after="0" w:line="240" w:lineRule="auto"/>
        <w:ind w:left="283"/>
        <w:jc w:val="both"/>
        <w:rPr>
          <w:rFonts w:ascii="Arial" w:eastAsia="Times New Roman" w:hAnsi="Arial" w:cs="Arial"/>
          <w:sz w:val="20"/>
          <w:szCs w:val="20"/>
          <w:lang w:eastAsia="de-DE"/>
        </w:rPr>
      </w:pPr>
      <w:r w:rsidRPr="00C46C2C">
        <w:rPr>
          <w:rFonts w:ascii="Arial" w:eastAsia="Times New Roman" w:hAnsi="Arial" w:cs="Arial"/>
          <w:sz w:val="20"/>
          <w:szCs w:val="20"/>
          <w:lang w:eastAsia="de-DE"/>
        </w:rPr>
        <w:t>La République Tunisienne,</w:t>
      </w:r>
    </w:p>
    <w:p w14:paraId="641B1A8D" w14:textId="77777777" w:rsidR="00C46C2C" w:rsidRPr="00C46C2C" w:rsidRDefault="00C46C2C" w:rsidP="00C46C2C">
      <w:pPr>
        <w:widowControl w:val="0"/>
        <w:autoSpaceDE w:val="0"/>
        <w:autoSpaceDN w:val="0"/>
        <w:adjustRightInd w:val="0"/>
        <w:spacing w:before="100" w:beforeAutospacing="1" w:after="0" w:line="240" w:lineRule="auto"/>
        <w:ind w:left="283"/>
        <w:jc w:val="both"/>
        <w:rPr>
          <w:rFonts w:ascii="Arial" w:eastAsia="Times New Roman" w:hAnsi="Arial" w:cs="Arial"/>
          <w:sz w:val="20"/>
          <w:szCs w:val="20"/>
          <w:lang w:eastAsia="de-DE"/>
        </w:rPr>
      </w:pPr>
      <w:r w:rsidRPr="00C46C2C">
        <w:rPr>
          <w:rFonts w:ascii="Arial" w:eastAsia="Times New Roman" w:hAnsi="Arial" w:cs="Arial"/>
          <w:sz w:val="20"/>
          <w:szCs w:val="20"/>
          <w:lang w:eastAsia="de-DE"/>
        </w:rPr>
        <w:t>En acceptant d'adhérer à la convention internationale pour la répression des attentats terroristes à l'explosif, adoptée par l'assemblée générale des Nations Unies le 15 décembre 1997, ne se considère pas liée par les dispositions du premier paragraphe de son article 20 et affirme que les différends relatifs à l'interprétation ou à l'application de ladite convention ne peuvent être soumis à la cour internationale de justice qu'après son consentement préalable.</w:t>
      </w:r>
    </w:p>
    <w:p w14:paraId="7ED66F28" w14:textId="77777777" w:rsidR="00C46C2C" w:rsidRPr="00C46C2C" w:rsidRDefault="00C46C2C" w:rsidP="00C46C2C">
      <w:pPr>
        <w:widowControl w:val="0"/>
        <w:autoSpaceDE w:val="0"/>
        <w:autoSpaceDN w:val="0"/>
        <w:adjustRightInd w:val="0"/>
        <w:spacing w:before="100" w:beforeAutospacing="1" w:after="0" w:line="240" w:lineRule="auto"/>
        <w:ind w:left="283"/>
        <w:jc w:val="both"/>
        <w:rPr>
          <w:rFonts w:ascii="Arial" w:eastAsia="Times New Roman" w:hAnsi="Arial" w:cs="Arial"/>
          <w:sz w:val="20"/>
          <w:szCs w:val="20"/>
          <w:lang w:eastAsia="de-DE"/>
        </w:rPr>
      </w:pPr>
      <w:r w:rsidRPr="00C46C2C">
        <w:rPr>
          <w:rFonts w:ascii="Arial" w:eastAsia="Times New Roman" w:hAnsi="Arial" w:cs="Arial"/>
          <w:sz w:val="20"/>
          <w:szCs w:val="20"/>
          <w:lang w:eastAsia="de-DE"/>
        </w:rPr>
        <w:t xml:space="preserve">La présente loi sera publiée au Journal Officiel de la République Tunisienne et exécutée comme loi de l'Etat. </w:t>
      </w:r>
    </w:p>
    <w:p w14:paraId="71E6F4F2" w14:textId="7958935F" w:rsidR="00E953A2" w:rsidRPr="00C46C2C" w:rsidRDefault="00C46C2C" w:rsidP="00C46C2C">
      <w:pPr>
        <w:widowControl w:val="0"/>
        <w:autoSpaceDE w:val="0"/>
        <w:autoSpaceDN w:val="0"/>
        <w:adjustRightInd w:val="0"/>
        <w:spacing w:before="100" w:beforeAutospacing="1" w:after="0" w:line="240" w:lineRule="auto"/>
        <w:ind w:left="283"/>
        <w:jc w:val="both"/>
        <w:rPr>
          <w:rFonts w:ascii="Arial" w:eastAsia="Times New Roman" w:hAnsi="Arial" w:cs="Arial"/>
          <w:b/>
          <w:bCs/>
          <w:sz w:val="20"/>
          <w:szCs w:val="20"/>
          <w:lang w:eastAsia="de-DE"/>
        </w:rPr>
      </w:pPr>
      <w:r w:rsidRPr="00C46C2C">
        <w:rPr>
          <w:rFonts w:ascii="Arial" w:eastAsia="Times New Roman" w:hAnsi="Arial" w:cs="Arial"/>
          <w:b/>
          <w:bCs/>
          <w:sz w:val="20"/>
          <w:szCs w:val="20"/>
          <w:lang w:eastAsia="de-DE"/>
        </w:rPr>
        <w:t>Tunis, le 14 février 2002.</w:t>
      </w:r>
    </w:p>
    <w:sectPr w:rsidR="00E953A2" w:rsidRPr="00C46C2C"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516B5" w14:textId="77777777" w:rsidR="001E6787" w:rsidRDefault="001E6787" w:rsidP="008F3F2D">
      <w:r>
        <w:separator/>
      </w:r>
    </w:p>
  </w:endnote>
  <w:endnote w:type="continuationSeparator" w:id="0">
    <w:p w14:paraId="249138FE" w14:textId="77777777" w:rsidR="001E6787" w:rsidRDefault="001E6787"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84322">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46C2C">
                            <w:rPr>
                              <w:rFonts w:ascii="Arial" w:hAnsi="Arial" w:cs="Arial"/>
                              <w:noProof/>
                              <w:sz w:val="18"/>
                              <w:szCs w:val="18"/>
                            </w:rPr>
                            <w:t>1</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84322">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46C2C">
                      <w:rPr>
                        <w:rFonts w:ascii="Arial" w:hAnsi="Arial" w:cs="Arial"/>
                        <w:noProof/>
                        <w:sz w:val="18"/>
                        <w:szCs w:val="18"/>
                      </w:rPr>
                      <w:t>1</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46C2C">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46C2C">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46C2C">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46C2C">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868BD" w14:textId="77777777" w:rsidR="001E6787" w:rsidRDefault="001E6787" w:rsidP="008F3F2D">
      <w:r>
        <w:separator/>
      </w:r>
    </w:p>
  </w:footnote>
  <w:footnote w:type="continuationSeparator" w:id="0">
    <w:p w14:paraId="652D1854" w14:textId="77777777" w:rsidR="001E6787" w:rsidRDefault="001E6787"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097000E"/>
    <w:multiLevelType w:val="hybridMultilevel"/>
    <w:tmpl w:val="978A0744"/>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255706D"/>
    <w:multiLevelType w:val="hybridMultilevel"/>
    <w:tmpl w:val="A0486DE2"/>
    <w:lvl w:ilvl="0" w:tplc="408EE8C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3"/>
  </w:num>
  <w:num w:numId="3">
    <w:abstractNumId w:val="9"/>
  </w:num>
  <w:num w:numId="4">
    <w:abstractNumId w:val="4"/>
  </w:num>
  <w:num w:numId="5">
    <w:abstractNumId w:val="8"/>
  </w:num>
  <w:num w:numId="6">
    <w:abstractNumId w:val="10"/>
  </w:num>
  <w:num w:numId="7">
    <w:abstractNumId w:val="7"/>
  </w:num>
  <w:num w:numId="8">
    <w:abstractNumId w:val="1"/>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B0D20"/>
    <w:rsid w:val="000D0DE1"/>
    <w:rsid w:val="001323AC"/>
    <w:rsid w:val="001A535F"/>
    <w:rsid w:val="001E5DD5"/>
    <w:rsid w:val="001E6787"/>
    <w:rsid w:val="0020398F"/>
    <w:rsid w:val="002B19EE"/>
    <w:rsid w:val="00354137"/>
    <w:rsid w:val="003B6CD4"/>
    <w:rsid w:val="00503B87"/>
    <w:rsid w:val="00584322"/>
    <w:rsid w:val="00595DBD"/>
    <w:rsid w:val="005F7BF4"/>
    <w:rsid w:val="00684129"/>
    <w:rsid w:val="007244D3"/>
    <w:rsid w:val="0075404E"/>
    <w:rsid w:val="007F6F1D"/>
    <w:rsid w:val="0089552E"/>
    <w:rsid w:val="008F3F2D"/>
    <w:rsid w:val="00957F0E"/>
    <w:rsid w:val="0097472C"/>
    <w:rsid w:val="00A00644"/>
    <w:rsid w:val="00A04F09"/>
    <w:rsid w:val="00A24F23"/>
    <w:rsid w:val="00A90F21"/>
    <w:rsid w:val="00AD2268"/>
    <w:rsid w:val="00B05438"/>
    <w:rsid w:val="00B617F1"/>
    <w:rsid w:val="00BB7FB8"/>
    <w:rsid w:val="00C1635D"/>
    <w:rsid w:val="00C46C2C"/>
    <w:rsid w:val="00C64B86"/>
    <w:rsid w:val="00CA3D64"/>
    <w:rsid w:val="00CC4ADF"/>
    <w:rsid w:val="00D07749"/>
    <w:rsid w:val="00E10A35"/>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1028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Assist.Wided</cp:lastModifiedBy>
  <cp:revision>2</cp:revision>
  <cp:lastPrinted>2012-09-25T15:33:00Z</cp:lastPrinted>
  <dcterms:created xsi:type="dcterms:W3CDTF">2012-09-25T15:49:00Z</dcterms:created>
  <dcterms:modified xsi:type="dcterms:W3CDTF">2012-09-25T15:49:00Z</dcterms:modified>
</cp:coreProperties>
</file>