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9750" w14:textId="77777777" w:rsidR="00250161" w:rsidRPr="00250161" w:rsidRDefault="00250161" w:rsidP="00250161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9B10A33" w14:textId="4C76BA89" w:rsidR="005D18F7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D18F7">
        <w:rPr>
          <w:rFonts w:ascii="Arial" w:hAnsi="Arial" w:cs="Arial"/>
          <w:b/>
          <w:bCs/>
          <w:sz w:val="24"/>
          <w:szCs w:val="24"/>
        </w:rPr>
        <w:t xml:space="preserve">Décret </w:t>
      </w:r>
      <w:r w:rsidR="002C48DC">
        <w:rPr>
          <w:rFonts w:ascii="Arial" w:hAnsi="Arial" w:cs="Arial"/>
          <w:b/>
          <w:bCs/>
          <w:sz w:val="24"/>
          <w:szCs w:val="24"/>
        </w:rPr>
        <w:t>p</w:t>
      </w:r>
      <w:r w:rsidRPr="005D18F7">
        <w:rPr>
          <w:rFonts w:ascii="Arial" w:hAnsi="Arial" w:cs="Arial"/>
          <w:b/>
          <w:bCs/>
          <w:sz w:val="24"/>
          <w:szCs w:val="24"/>
        </w:rPr>
        <w:t>résidentiel n° 2020-73 du 5 août 2020, portant prorogation de la proclamation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18F7">
        <w:rPr>
          <w:rFonts w:ascii="Arial" w:hAnsi="Arial" w:cs="Arial"/>
          <w:b/>
          <w:bCs/>
          <w:sz w:val="24"/>
          <w:szCs w:val="24"/>
        </w:rPr>
        <w:t>d'une zone frontalière tampon</w:t>
      </w:r>
    </w:p>
    <w:p w14:paraId="0497B152" w14:textId="77777777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FF16DC0" w14:textId="77777777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Le Président de la République,</w:t>
      </w:r>
    </w:p>
    <w:p w14:paraId="4A31ED4C" w14:textId="77777777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Constitution, notamment son article 77,</w:t>
      </w:r>
    </w:p>
    <w:p w14:paraId="10E26339" w14:textId="77777777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l'arrêté Républicain n° 2013-230 du 29 août 2013, portant proclamation d'une zone frontalière tampon,</w:t>
      </w:r>
    </w:p>
    <w:p w14:paraId="11AF5B88" w14:textId="77777777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l’arrêté Républicain n° 2014-202 du 19 septembre 2014, portant prorogation de l'effet de l'arrêté Républicain n° 2013-230 du 29 août 2013, portant proclamation d'une zone frontalière tampon,</w:t>
      </w:r>
    </w:p>
    <w:p w14:paraId="315703E2" w14:textId="63B85C5F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</w:t>
      </w:r>
      <w:r w:rsid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résidentiel n° 2015-157 du 25 août 2015, portant prorogation de la proclamation d'une zone frontalière tampon,</w:t>
      </w:r>
    </w:p>
    <w:p w14:paraId="2CA6D2D8" w14:textId="0A342213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</w:t>
      </w:r>
      <w:r w:rsid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résidentiel n° 2016-98 du 15 août 2016, portant prorogation de la proclamation d'une zone frontalière tampon,</w:t>
      </w:r>
    </w:p>
    <w:p w14:paraId="0134CE72" w14:textId="1B9D93E8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</w:t>
      </w:r>
      <w:r w:rsid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résidentiel n° 2017-105 du 7 août 2017, portant prorogation de la proclamation d’une zone frontalière tampon,</w:t>
      </w:r>
    </w:p>
    <w:p w14:paraId="0591D41E" w14:textId="3900E243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</w:t>
      </w:r>
      <w:r w:rsid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résidentiel n° 2018-82 du 14 août 2018, portant prorogation de la proclamation d’une zone frontalière tampon,</w:t>
      </w:r>
    </w:p>
    <w:p w14:paraId="2F6B2E47" w14:textId="5B8941C2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</w:t>
      </w:r>
      <w:r w:rsid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résidentiel n° 2019-142 du 14 août 2019, portant prorogation de la proclamation d’une zone frontalière tampon,</w:t>
      </w:r>
    </w:p>
    <w:p w14:paraId="77A9FE5A" w14:textId="655077C5" w:rsidR="005D18F7" w:rsidRPr="002C48DC" w:rsidRDefault="005D18F7" w:rsidP="005D18F7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</w:t>
      </w:r>
      <w:r w:rsid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résidentiel n° 2020-19 du 27 février 2020, portant nomination du Chef du Gouvernement et de ses membres,</w:t>
      </w:r>
    </w:p>
    <w:p w14:paraId="55FC9555" w14:textId="00F3D5D6" w:rsidR="002C48DC" w:rsidRPr="002C48DC" w:rsidRDefault="005D18F7" w:rsidP="002C48DC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</w:t>
      </w:r>
      <w:r w:rsid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résidentiel n° 2020-68 du 15 juillet 2020, relatif à l’acceptation de la démission du Chef du Gouvernement, et notamment son article 2,</w:t>
      </w:r>
    </w:p>
    <w:p w14:paraId="6D802673" w14:textId="77777777" w:rsidR="002C48DC" w:rsidRPr="002C48DC" w:rsidRDefault="005D18F7" w:rsidP="002C48DC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Après consultation du Chef du Gouvernement et du Président de l’Assemblée des représentants du peuple.</w:t>
      </w:r>
    </w:p>
    <w:p w14:paraId="736736E2" w14:textId="4E2D454F" w:rsidR="002C48DC" w:rsidRPr="002C48DC" w:rsidRDefault="005D18F7" w:rsidP="002C48DC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Prend le décret </w:t>
      </w:r>
      <w:r w:rsid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résidentiel dont la teneur suit :</w:t>
      </w:r>
    </w:p>
    <w:p w14:paraId="05D6749C" w14:textId="4B87D10A" w:rsidR="002C48DC" w:rsidRPr="002C48DC" w:rsidRDefault="005D18F7" w:rsidP="002C48DC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Article premie</w:t>
      </w:r>
      <w:r w:rsidRPr="002C48D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r –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proclamation d'une zone frontalière tampon est prorogée d’une année supplémentaire, et ce, à compter du 29 août 2020. Les dispositions de </w:t>
      </w:r>
      <w:hyperlink r:id="rId8" w:history="1">
        <w:r w:rsidRPr="002C48DC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l’arrêté Républicain n° 2013-230 du 29 août 2013</w:t>
        </w:r>
      </w:hyperlink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susvisé, continuent de s’appliquer.</w:t>
      </w:r>
    </w:p>
    <w:p w14:paraId="324BCEED" w14:textId="77777777" w:rsidR="002C48DC" w:rsidRPr="002C48DC" w:rsidRDefault="005D18F7" w:rsidP="002C48DC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Art. 2</w:t>
      </w:r>
      <w:r w:rsidRPr="002C48D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–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C48DC">
        <w:rPr>
          <w:rFonts w:ascii="Arial" w:hAnsi="Arial" w:cs="Arial"/>
          <w:color w:val="000000"/>
          <w:sz w:val="20"/>
          <w:szCs w:val="20"/>
          <w:shd w:val="clear" w:color="auto" w:fill="FFFFFF"/>
        </w:rPr>
        <w:t>Le présent décret Présidentiel sera publié au Journal officiel de la République tunisienne.</w:t>
      </w:r>
    </w:p>
    <w:p w14:paraId="7B819F8E" w14:textId="47F58DC0" w:rsidR="00D816BB" w:rsidRPr="002C48DC" w:rsidRDefault="005D18F7" w:rsidP="002C48DC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C48D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5 août 2020.</w:t>
      </w:r>
    </w:p>
    <w:sectPr w:rsidR="00D816BB" w:rsidRPr="002C48DC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8B19" w14:textId="77777777" w:rsidR="00AC67CF" w:rsidRDefault="00AC67CF" w:rsidP="008F3F2D">
      <w:r>
        <w:separator/>
      </w:r>
    </w:p>
  </w:endnote>
  <w:endnote w:type="continuationSeparator" w:id="0">
    <w:p w14:paraId="24863FB1" w14:textId="77777777" w:rsidR="00AC67CF" w:rsidRDefault="00AC67C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DD07" w14:textId="77777777" w:rsidR="00AC67CF" w:rsidRDefault="00AC67CF" w:rsidP="008F3F2D">
      <w:r>
        <w:separator/>
      </w:r>
    </w:p>
  </w:footnote>
  <w:footnote w:type="continuationSeparator" w:id="0">
    <w:p w14:paraId="3AE3B13E" w14:textId="77777777" w:rsidR="00AC67CF" w:rsidRDefault="00AC67C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2EEB0F06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2339DB52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2DBAE0BF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2339DB52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2DBAE0BF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7C89D0A3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E321C6"/>
    <w:multiLevelType w:val="hybridMultilevel"/>
    <w:tmpl w:val="F572C7E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7062F6E4">
      <w:start w:val="10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F82B42"/>
    <w:multiLevelType w:val="hybridMultilevel"/>
    <w:tmpl w:val="8D4620C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09E5460"/>
    <w:multiLevelType w:val="hybridMultilevel"/>
    <w:tmpl w:val="539CE83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7AD14F2"/>
    <w:multiLevelType w:val="hybridMultilevel"/>
    <w:tmpl w:val="5188307A"/>
    <w:lvl w:ilvl="0" w:tplc="B6EC23B6">
      <w:numFmt w:val="bullet"/>
      <w:lvlText w:val="-"/>
      <w:lvlJc w:val="left"/>
      <w:pPr>
        <w:ind w:left="7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1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AF1C4D"/>
    <w:multiLevelType w:val="hybridMultilevel"/>
    <w:tmpl w:val="C204C8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9234EF3"/>
    <w:multiLevelType w:val="hybridMultilevel"/>
    <w:tmpl w:val="5FCEEA42"/>
    <w:lvl w:ilvl="0" w:tplc="64B4C50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042C2B"/>
    <w:multiLevelType w:val="hybridMultilevel"/>
    <w:tmpl w:val="D2A45958"/>
    <w:lvl w:ilvl="0" w:tplc="2812AB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D0C76"/>
    <w:multiLevelType w:val="hybridMultilevel"/>
    <w:tmpl w:val="6E7AAF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43"/>
  </w:num>
  <w:num w:numId="5">
    <w:abstractNumId w:val="18"/>
  </w:num>
  <w:num w:numId="6">
    <w:abstractNumId w:val="38"/>
  </w:num>
  <w:num w:numId="7">
    <w:abstractNumId w:val="28"/>
  </w:num>
  <w:num w:numId="8">
    <w:abstractNumId w:val="7"/>
  </w:num>
  <w:num w:numId="9">
    <w:abstractNumId w:val="33"/>
  </w:num>
  <w:num w:numId="10">
    <w:abstractNumId w:val="4"/>
  </w:num>
  <w:num w:numId="11">
    <w:abstractNumId w:val="1"/>
  </w:num>
  <w:num w:numId="12">
    <w:abstractNumId w:val="44"/>
  </w:num>
  <w:num w:numId="13">
    <w:abstractNumId w:val="42"/>
  </w:num>
  <w:num w:numId="14">
    <w:abstractNumId w:val="30"/>
  </w:num>
  <w:num w:numId="15">
    <w:abstractNumId w:val="35"/>
  </w:num>
  <w:num w:numId="16">
    <w:abstractNumId w:val="10"/>
  </w:num>
  <w:num w:numId="17">
    <w:abstractNumId w:val="19"/>
  </w:num>
  <w:num w:numId="18">
    <w:abstractNumId w:val="6"/>
  </w:num>
  <w:num w:numId="19">
    <w:abstractNumId w:val="23"/>
  </w:num>
  <w:num w:numId="20">
    <w:abstractNumId w:val="37"/>
  </w:num>
  <w:num w:numId="21">
    <w:abstractNumId w:val="24"/>
  </w:num>
  <w:num w:numId="22">
    <w:abstractNumId w:val="16"/>
  </w:num>
  <w:num w:numId="23">
    <w:abstractNumId w:val="26"/>
  </w:num>
  <w:num w:numId="24">
    <w:abstractNumId w:val="12"/>
  </w:num>
  <w:num w:numId="25">
    <w:abstractNumId w:val="41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34"/>
  </w:num>
  <w:num w:numId="31">
    <w:abstractNumId w:val="5"/>
  </w:num>
  <w:num w:numId="32">
    <w:abstractNumId w:val="39"/>
  </w:num>
  <w:num w:numId="33">
    <w:abstractNumId w:val="9"/>
  </w:num>
  <w:num w:numId="34">
    <w:abstractNumId w:val="15"/>
  </w:num>
  <w:num w:numId="35">
    <w:abstractNumId w:val="2"/>
  </w:num>
  <w:num w:numId="36">
    <w:abstractNumId w:val="36"/>
  </w:num>
  <w:num w:numId="37">
    <w:abstractNumId w:val="21"/>
  </w:num>
  <w:num w:numId="38">
    <w:abstractNumId w:val="17"/>
  </w:num>
  <w:num w:numId="39">
    <w:abstractNumId w:val="27"/>
  </w:num>
  <w:num w:numId="40">
    <w:abstractNumId w:val="22"/>
  </w:num>
  <w:num w:numId="41">
    <w:abstractNumId w:val="20"/>
  </w:num>
  <w:num w:numId="42">
    <w:abstractNumId w:val="8"/>
  </w:num>
  <w:num w:numId="43">
    <w:abstractNumId w:val="31"/>
  </w:num>
  <w:num w:numId="44">
    <w:abstractNumId w:val="1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07076"/>
    <w:rsid w:val="00007E93"/>
    <w:rsid w:val="000414A7"/>
    <w:rsid w:val="000437B1"/>
    <w:rsid w:val="00062ECD"/>
    <w:rsid w:val="00074517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0F66D7"/>
    <w:rsid w:val="00100A66"/>
    <w:rsid w:val="0010537F"/>
    <w:rsid w:val="001323AC"/>
    <w:rsid w:val="00135F7E"/>
    <w:rsid w:val="00137334"/>
    <w:rsid w:val="001375FF"/>
    <w:rsid w:val="00152048"/>
    <w:rsid w:val="00167394"/>
    <w:rsid w:val="0017266A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0161"/>
    <w:rsid w:val="0026678B"/>
    <w:rsid w:val="002672A1"/>
    <w:rsid w:val="00267DE1"/>
    <w:rsid w:val="002702C2"/>
    <w:rsid w:val="002B1245"/>
    <w:rsid w:val="002B19EE"/>
    <w:rsid w:val="002C48DC"/>
    <w:rsid w:val="002D73AA"/>
    <w:rsid w:val="002D7F23"/>
    <w:rsid w:val="002F411C"/>
    <w:rsid w:val="00301345"/>
    <w:rsid w:val="003050B7"/>
    <w:rsid w:val="003125F1"/>
    <w:rsid w:val="003143FE"/>
    <w:rsid w:val="00322E7A"/>
    <w:rsid w:val="003324D8"/>
    <w:rsid w:val="003338B9"/>
    <w:rsid w:val="0033511C"/>
    <w:rsid w:val="00343915"/>
    <w:rsid w:val="003476E8"/>
    <w:rsid w:val="00354137"/>
    <w:rsid w:val="00356C00"/>
    <w:rsid w:val="00362106"/>
    <w:rsid w:val="00371B80"/>
    <w:rsid w:val="0037201C"/>
    <w:rsid w:val="003757FF"/>
    <w:rsid w:val="00383314"/>
    <w:rsid w:val="003837BB"/>
    <w:rsid w:val="00385334"/>
    <w:rsid w:val="003B0912"/>
    <w:rsid w:val="003B3225"/>
    <w:rsid w:val="003B363D"/>
    <w:rsid w:val="003B6CD4"/>
    <w:rsid w:val="003C1D4F"/>
    <w:rsid w:val="003D79F3"/>
    <w:rsid w:val="003F4AF0"/>
    <w:rsid w:val="0040015B"/>
    <w:rsid w:val="00400161"/>
    <w:rsid w:val="00413360"/>
    <w:rsid w:val="0041715F"/>
    <w:rsid w:val="0042092A"/>
    <w:rsid w:val="00436C7E"/>
    <w:rsid w:val="00437075"/>
    <w:rsid w:val="004402D7"/>
    <w:rsid w:val="004808F1"/>
    <w:rsid w:val="00481528"/>
    <w:rsid w:val="004977E0"/>
    <w:rsid w:val="004A6E4A"/>
    <w:rsid w:val="004C4E21"/>
    <w:rsid w:val="004D5CA0"/>
    <w:rsid w:val="004E246D"/>
    <w:rsid w:val="004E2CD2"/>
    <w:rsid w:val="004F6564"/>
    <w:rsid w:val="00503E5A"/>
    <w:rsid w:val="00510021"/>
    <w:rsid w:val="0052779B"/>
    <w:rsid w:val="005312F4"/>
    <w:rsid w:val="00545C63"/>
    <w:rsid w:val="00567E0F"/>
    <w:rsid w:val="00584322"/>
    <w:rsid w:val="00595DBD"/>
    <w:rsid w:val="00597E28"/>
    <w:rsid w:val="005B0922"/>
    <w:rsid w:val="005B71D8"/>
    <w:rsid w:val="005D18F7"/>
    <w:rsid w:val="005D262A"/>
    <w:rsid w:val="005E40EA"/>
    <w:rsid w:val="005E7CA9"/>
    <w:rsid w:val="005F12B8"/>
    <w:rsid w:val="005F7BF4"/>
    <w:rsid w:val="00600567"/>
    <w:rsid w:val="006038E1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A2829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83440"/>
    <w:rsid w:val="00993EF9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CF"/>
    <w:rsid w:val="00AC67FB"/>
    <w:rsid w:val="00AD0916"/>
    <w:rsid w:val="00AD2268"/>
    <w:rsid w:val="00AD326E"/>
    <w:rsid w:val="00AE3AC0"/>
    <w:rsid w:val="00AE77ED"/>
    <w:rsid w:val="00AF1ECF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BD647D"/>
    <w:rsid w:val="00BE4CC8"/>
    <w:rsid w:val="00BF554A"/>
    <w:rsid w:val="00C00FC8"/>
    <w:rsid w:val="00C068A7"/>
    <w:rsid w:val="00C13B06"/>
    <w:rsid w:val="00C1635D"/>
    <w:rsid w:val="00C16F6B"/>
    <w:rsid w:val="00C2388A"/>
    <w:rsid w:val="00C26C82"/>
    <w:rsid w:val="00C33D1B"/>
    <w:rsid w:val="00C454C0"/>
    <w:rsid w:val="00C5594B"/>
    <w:rsid w:val="00C61994"/>
    <w:rsid w:val="00C61C20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139A4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70BFD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1B17"/>
    <w:rsid w:val="00E55A17"/>
    <w:rsid w:val="00E56A30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0C0C"/>
    <w:rsid w:val="00F62055"/>
    <w:rsid w:val="00F63D39"/>
    <w:rsid w:val="00F73AFD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6B51295A-13D1-4023-B68F-2ACC32F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fr/node/439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BFF9-6E0B-41F7-A4B3-E74C4C8A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Dcaf</cp:lastModifiedBy>
  <cp:revision>3</cp:revision>
  <cp:lastPrinted>2020-08-14T08:48:00Z</cp:lastPrinted>
  <dcterms:created xsi:type="dcterms:W3CDTF">2020-08-14T08:48:00Z</dcterms:created>
  <dcterms:modified xsi:type="dcterms:W3CDTF">2020-08-14T09:20:00Z</dcterms:modified>
</cp:coreProperties>
</file>