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F72FD" w14:textId="77777777" w:rsidR="004D3C39" w:rsidRDefault="004D3C39" w:rsidP="00905249">
      <w:pPr>
        <w:spacing w:before="100" w:beforeAutospacing="1" w:after="0"/>
        <w:ind w:left="283"/>
        <w:jc w:val="both"/>
        <w:rPr>
          <w:rFonts w:ascii="Arial" w:hAnsi="Arial" w:cs="Arial"/>
          <w:b/>
          <w:bCs/>
          <w:sz w:val="24"/>
          <w:szCs w:val="24"/>
        </w:rPr>
      </w:pPr>
    </w:p>
    <w:p w14:paraId="66AF9BE9" w14:textId="498653AE" w:rsidR="00A34E85" w:rsidRDefault="00230DDE" w:rsidP="00905249">
      <w:pPr>
        <w:spacing w:before="100" w:beforeAutospacing="1" w:after="0"/>
        <w:ind w:left="283"/>
        <w:jc w:val="both"/>
        <w:rPr>
          <w:rFonts w:ascii="Arial" w:hAnsi="Arial" w:cs="Arial"/>
          <w:b/>
          <w:bCs/>
          <w:sz w:val="24"/>
          <w:szCs w:val="24"/>
        </w:rPr>
      </w:pPr>
      <w:bookmarkStart w:id="0" w:name="_GoBack"/>
      <w:r>
        <w:rPr>
          <w:rFonts w:ascii="Arial" w:hAnsi="Arial" w:cs="Arial"/>
          <w:b/>
          <w:bCs/>
          <w:sz w:val="24"/>
          <w:szCs w:val="24"/>
        </w:rPr>
        <w:t xml:space="preserve">Décret n°60-16 du 29 janvier 1960 </w:t>
      </w:r>
      <w:bookmarkEnd w:id="0"/>
      <w:r>
        <w:rPr>
          <w:rFonts w:ascii="Arial" w:hAnsi="Arial" w:cs="Arial"/>
          <w:b/>
          <w:bCs/>
          <w:sz w:val="24"/>
          <w:szCs w:val="24"/>
        </w:rPr>
        <w:t>complétant le décret n°58-121 du 25 avril 1958, relatif à la situation des gouverneurs de région</w:t>
      </w:r>
    </w:p>
    <w:p w14:paraId="36ED5298" w14:textId="5A9BB890" w:rsidR="00230DDE" w:rsidRDefault="00230DDE" w:rsidP="00230DDE">
      <w:pPr>
        <w:spacing w:before="100" w:beforeAutospacing="1" w:after="0"/>
        <w:ind w:left="283"/>
        <w:jc w:val="both"/>
        <w:rPr>
          <w:rFonts w:ascii="Arial" w:hAnsi="Arial" w:cs="Arial"/>
          <w:sz w:val="20"/>
          <w:szCs w:val="20"/>
        </w:rPr>
      </w:pPr>
      <w:r>
        <w:rPr>
          <w:rFonts w:ascii="Arial" w:hAnsi="Arial" w:cs="Arial"/>
          <w:sz w:val="20"/>
          <w:szCs w:val="20"/>
        </w:rPr>
        <w:t>Nous, Habib Bourguiba, Président de la République Tunisienne,</w:t>
      </w:r>
    </w:p>
    <w:p w14:paraId="6DEA8FCE" w14:textId="03962CA3" w:rsidR="00230DDE" w:rsidRDefault="00230DDE" w:rsidP="00230DDE">
      <w:pPr>
        <w:spacing w:before="100" w:beforeAutospacing="1" w:after="0"/>
        <w:ind w:left="283"/>
        <w:jc w:val="both"/>
        <w:rPr>
          <w:rFonts w:ascii="Arial" w:hAnsi="Arial" w:cs="Arial"/>
          <w:sz w:val="20"/>
          <w:szCs w:val="20"/>
        </w:rPr>
      </w:pPr>
      <w:r>
        <w:rPr>
          <w:rFonts w:ascii="Arial" w:hAnsi="Arial" w:cs="Arial"/>
          <w:sz w:val="20"/>
          <w:szCs w:val="20"/>
        </w:rPr>
        <w:t>Vu le décret du 21 juin 1956, portant statut du personnel supérieur des services extérieurs de l’administration régionale, ensemble les textes qui l’ont modifié ou complété ;</w:t>
      </w:r>
    </w:p>
    <w:p w14:paraId="4840265B" w14:textId="1B2601F8" w:rsidR="00230DDE" w:rsidRDefault="00230DDE" w:rsidP="00230DDE">
      <w:pPr>
        <w:spacing w:before="100" w:beforeAutospacing="1" w:after="0"/>
        <w:ind w:left="283"/>
        <w:jc w:val="both"/>
        <w:rPr>
          <w:rFonts w:ascii="Arial" w:hAnsi="Arial" w:cs="Arial"/>
          <w:sz w:val="20"/>
          <w:szCs w:val="20"/>
        </w:rPr>
      </w:pPr>
      <w:r>
        <w:rPr>
          <w:rFonts w:ascii="Arial" w:hAnsi="Arial" w:cs="Arial"/>
          <w:sz w:val="20"/>
          <w:szCs w:val="20"/>
        </w:rPr>
        <w:t>Vu le décret n°58-121 du 25 avril 1958, relatif à la situation des gouverneurs de région ;</w:t>
      </w:r>
    </w:p>
    <w:p w14:paraId="1C264E81" w14:textId="3D99B57E" w:rsidR="00230DDE" w:rsidRDefault="00230DDE" w:rsidP="00230DDE">
      <w:pPr>
        <w:spacing w:before="100" w:beforeAutospacing="1" w:after="0"/>
        <w:ind w:left="283"/>
        <w:jc w:val="both"/>
        <w:rPr>
          <w:rFonts w:ascii="Arial" w:hAnsi="Arial" w:cs="Arial"/>
          <w:sz w:val="20"/>
          <w:szCs w:val="20"/>
        </w:rPr>
      </w:pPr>
      <w:r>
        <w:rPr>
          <w:rFonts w:ascii="Arial" w:hAnsi="Arial" w:cs="Arial"/>
          <w:sz w:val="20"/>
          <w:szCs w:val="20"/>
        </w:rPr>
        <w:t>Vu l’avis des secrétaires d’Etat à l’intérieur et aux finances et au commerce ;</w:t>
      </w:r>
    </w:p>
    <w:p w14:paraId="333B1845" w14:textId="4A155C6B" w:rsidR="00230DDE" w:rsidRDefault="00230DDE" w:rsidP="00230DDE">
      <w:pPr>
        <w:spacing w:before="100" w:beforeAutospacing="1" w:after="0"/>
        <w:ind w:left="283"/>
        <w:jc w:val="both"/>
        <w:rPr>
          <w:rFonts w:ascii="Arial" w:hAnsi="Arial" w:cs="Arial"/>
          <w:sz w:val="20"/>
          <w:szCs w:val="20"/>
        </w:rPr>
      </w:pPr>
      <w:r>
        <w:rPr>
          <w:rFonts w:ascii="Arial" w:hAnsi="Arial" w:cs="Arial"/>
          <w:sz w:val="20"/>
          <w:szCs w:val="20"/>
        </w:rPr>
        <w:t>Décrétons :</w:t>
      </w:r>
    </w:p>
    <w:p w14:paraId="30874C77" w14:textId="38CA0DCD" w:rsidR="00230DDE" w:rsidRDefault="00230DDE" w:rsidP="00230DDE">
      <w:pPr>
        <w:spacing w:before="100" w:beforeAutospacing="1" w:after="0"/>
        <w:ind w:left="283"/>
        <w:jc w:val="both"/>
        <w:rPr>
          <w:rFonts w:ascii="Arial" w:hAnsi="Arial" w:cs="Arial"/>
          <w:sz w:val="20"/>
          <w:szCs w:val="20"/>
        </w:rPr>
      </w:pPr>
      <w:r>
        <w:rPr>
          <w:rFonts w:ascii="Arial" w:hAnsi="Arial" w:cs="Arial"/>
          <w:b/>
          <w:bCs/>
          <w:i/>
          <w:iCs/>
          <w:sz w:val="20"/>
          <w:szCs w:val="20"/>
        </w:rPr>
        <w:t xml:space="preserve">Article premier – </w:t>
      </w:r>
      <w:r>
        <w:rPr>
          <w:rFonts w:ascii="Arial" w:hAnsi="Arial" w:cs="Arial"/>
          <w:sz w:val="20"/>
          <w:szCs w:val="20"/>
        </w:rPr>
        <w:t>Le décret susvisé n°58-121 du 25 avril 1958 est complété par un article 4 bis, ainsi conçu :</w:t>
      </w:r>
    </w:p>
    <w:p w14:paraId="3A8055A7" w14:textId="022851E4" w:rsidR="00230DDE" w:rsidRDefault="00230DDE" w:rsidP="004D3C39">
      <w:pPr>
        <w:spacing w:before="100" w:beforeAutospacing="1" w:after="0"/>
        <w:ind w:left="283"/>
        <w:jc w:val="both"/>
        <w:rPr>
          <w:rFonts w:ascii="Arial" w:hAnsi="Arial" w:cs="Arial"/>
          <w:sz w:val="20"/>
          <w:szCs w:val="20"/>
        </w:rPr>
      </w:pPr>
      <w:r w:rsidRPr="00230DDE">
        <w:rPr>
          <w:rFonts w:ascii="Arial" w:hAnsi="Arial" w:cs="Arial"/>
          <w:b/>
          <w:bCs/>
          <w:i/>
          <w:iCs/>
          <w:sz w:val="20"/>
          <w:szCs w:val="20"/>
        </w:rPr>
        <w:t xml:space="preserve">Art. 4 bis – </w:t>
      </w:r>
      <w:r>
        <w:rPr>
          <w:rFonts w:ascii="Arial" w:hAnsi="Arial" w:cs="Arial"/>
          <w:sz w:val="20"/>
          <w:szCs w:val="20"/>
        </w:rPr>
        <w:t xml:space="preserve">Les agents du cadre </w:t>
      </w:r>
      <w:r w:rsidR="004D3C39">
        <w:rPr>
          <w:rFonts w:ascii="Arial" w:hAnsi="Arial" w:cs="Arial"/>
          <w:sz w:val="20"/>
          <w:szCs w:val="20"/>
        </w:rPr>
        <w:t xml:space="preserve">gubernatorial </w:t>
      </w:r>
      <w:r>
        <w:rPr>
          <w:rFonts w:ascii="Arial" w:hAnsi="Arial" w:cs="Arial"/>
          <w:sz w:val="20"/>
          <w:szCs w:val="20"/>
        </w:rPr>
        <w:t xml:space="preserve">chargés de l’intérim  des fonctions </w:t>
      </w:r>
      <w:r w:rsidR="004D3C39">
        <w:rPr>
          <w:rFonts w:ascii="Arial" w:hAnsi="Arial" w:cs="Arial"/>
          <w:sz w:val="20"/>
          <w:szCs w:val="20"/>
        </w:rPr>
        <w:t>du gouverneur de région, ont droit, durant la durée de leur intérim, aux indemnités et avantages de toute nature, attachés à ces fonctions.</w:t>
      </w:r>
    </w:p>
    <w:p w14:paraId="0E1965D8" w14:textId="45DD95DC" w:rsidR="004D3C39" w:rsidRDefault="004D3C39" w:rsidP="00230DDE">
      <w:pPr>
        <w:spacing w:before="100" w:beforeAutospacing="1" w:after="0"/>
        <w:ind w:left="283"/>
        <w:jc w:val="both"/>
        <w:rPr>
          <w:rFonts w:ascii="Arial" w:hAnsi="Arial" w:cs="Arial"/>
          <w:sz w:val="20"/>
          <w:szCs w:val="20"/>
        </w:rPr>
      </w:pPr>
      <w:r w:rsidRPr="004D3C39">
        <w:rPr>
          <w:rFonts w:ascii="Arial" w:hAnsi="Arial" w:cs="Arial"/>
          <w:b/>
          <w:bCs/>
          <w:sz w:val="20"/>
          <w:szCs w:val="20"/>
        </w:rPr>
        <w:t>Art. 2 –</w:t>
      </w:r>
      <w:r>
        <w:rPr>
          <w:rFonts w:ascii="Arial" w:hAnsi="Arial" w:cs="Arial"/>
          <w:sz w:val="20"/>
          <w:szCs w:val="20"/>
        </w:rPr>
        <w:t xml:space="preserve"> Les secrétaires d’Etat à l’intérieur et aux finances et au commerce, sont chargés chacun en ce qui le concerne, de l’exécution du présent décret, qui sera publié au Journal Officiel de la République Tunisienne et prendra effet à compter du 1</w:t>
      </w:r>
      <w:r w:rsidRPr="004D3C39">
        <w:rPr>
          <w:rFonts w:ascii="Arial" w:hAnsi="Arial" w:cs="Arial"/>
          <w:sz w:val="20"/>
          <w:szCs w:val="20"/>
          <w:vertAlign w:val="superscript"/>
        </w:rPr>
        <w:t>er</w:t>
      </w:r>
      <w:r>
        <w:rPr>
          <w:rFonts w:ascii="Arial" w:hAnsi="Arial" w:cs="Arial"/>
          <w:sz w:val="20"/>
          <w:szCs w:val="20"/>
        </w:rPr>
        <w:t xml:space="preserve"> avril 1959.</w:t>
      </w:r>
    </w:p>
    <w:p w14:paraId="0E008AE8" w14:textId="04468E0D" w:rsidR="004D3C39" w:rsidRPr="004D3C39" w:rsidRDefault="004D3C39" w:rsidP="00230DDE">
      <w:pPr>
        <w:spacing w:before="100" w:beforeAutospacing="1" w:after="0"/>
        <w:ind w:left="283"/>
        <w:jc w:val="both"/>
        <w:rPr>
          <w:rFonts w:ascii="Arial" w:hAnsi="Arial" w:cs="Arial"/>
          <w:sz w:val="20"/>
          <w:szCs w:val="20"/>
        </w:rPr>
      </w:pPr>
      <w:r w:rsidRPr="004D3C39">
        <w:rPr>
          <w:rFonts w:ascii="Arial" w:hAnsi="Arial" w:cs="Arial"/>
          <w:b/>
          <w:bCs/>
          <w:sz w:val="20"/>
          <w:szCs w:val="20"/>
        </w:rPr>
        <w:t>Tunis, le 29 janvier 1960.</w:t>
      </w:r>
    </w:p>
    <w:p w14:paraId="13F55C41" w14:textId="77777777" w:rsidR="00230DDE" w:rsidRPr="00230DDE" w:rsidRDefault="00230DDE" w:rsidP="00230DDE">
      <w:pPr>
        <w:spacing w:before="100" w:beforeAutospacing="1" w:after="0"/>
        <w:ind w:left="283"/>
        <w:jc w:val="both"/>
        <w:rPr>
          <w:rFonts w:ascii="Arial" w:hAnsi="Arial" w:cs="Arial"/>
          <w:i/>
          <w:iCs/>
          <w:sz w:val="20"/>
          <w:szCs w:val="20"/>
        </w:rPr>
      </w:pPr>
    </w:p>
    <w:sectPr w:rsidR="00230DDE" w:rsidRPr="00230DD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E53F2" w14:textId="77777777" w:rsidR="002277DD" w:rsidRDefault="002277DD" w:rsidP="008F3F2D">
      <w:r>
        <w:separator/>
      </w:r>
    </w:p>
  </w:endnote>
  <w:endnote w:type="continuationSeparator" w:id="0">
    <w:p w14:paraId="520A4952" w14:textId="77777777" w:rsidR="002277DD" w:rsidRDefault="002277D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30DD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30DD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30DD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30DD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277D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277DD">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277D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277DD">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27509" w14:textId="77777777" w:rsidR="002277DD" w:rsidRDefault="002277DD" w:rsidP="008F3F2D">
      <w:r>
        <w:separator/>
      </w:r>
    </w:p>
  </w:footnote>
  <w:footnote w:type="continuationSeparator" w:id="0">
    <w:p w14:paraId="0A67C40A" w14:textId="77777777" w:rsidR="002277DD" w:rsidRDefault="002277D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6"/>
  </w:num>
  <w:num w:numId="4">
    <w:abstractNumId w:val="6"/>
  </w:num>
  <w:num w:numId="5">
    <w:abstractNumId w:val="14"/>
  </w:num>
  <w:num w:numId="6">
    <w:abstractNumId w:val="18"/>
  </w:num>
  <w:num w:numId="7">
    <w:abstractNumId w:val="11"/>
  </w:num>
  <w:num w:numId="8">
    <w:abstractNumId w:val="1"/>
  </w:num>
  <w:num w:numId="9">
    <w:abstractNumId w:val="10"/>
  </w:num>
  <w:num w:numId="10">
    <w:abstractNumId w:val="9"/>
  </w:num>
  <w:num w:numId="11">
    <w:abstractNumId w:val="4"/>
  </w:num>
  <w:num w:numId="12">
    <w:abstractNumId w:val="17"/>
  </w:num>
  <w:num w:numId="13">
    <w:abstractNumId w:val="3"/>
  </w:num>
  <w:num w:numId="14">
    <w:abstractNumId w:val="15"/>
  </w:num>
  <w:num w:numId="15">
    <w:abstractNumId w:val="2"/>
  </w:num>
  <w:num w:numId="16">
    <w:abstractNumId w:val="8"/>
  </w:num>
  <w:num w:numId="17">
    <w:abstractNumId w:val="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2118F"/>
    <w:rsid w:val="00130BB3"/>
    <w:rsid w:val="001323AC"/>
    <w:rsid w:val="001A535F"/>
    <w:rsid w:val="001D1D98"/>
    <w:rsid w:val="001E5DD5"/>
    <w:rsid w:val="001E6787"/>
    <w:rsid w:val="001F5E92"/>
    <w:rsid w:val="0020398F"/>
    <w:rsid w:val="002277DD"/>
    <w:rsid w:val="00230DDE"/>
    <w:rsid w:val="00275509"/>
    <w:rsid w:val="002A1506"/>
    <w:rsid w:val="002B19EE"/>
    <w:rsid w:val="002B3A7C"/>
    <w:rsid w:val="00354137"/>
    <w:rsid w:val="003A3FD8"/>
    <w:rsid w:val="003B6CD4"/>
    <w:rsid w:val="003E4396"/>
    <w:rsid w:val="00440F78"/>
    <w:rsid w:val="004D3C39"/>
    <w:rsid w:val="00503E5A"/>
    <w:rsid w:val="00560EC8"/>
    <w:rsid w:val="0057192A"/>
    <w:rsid w:val="00584322"/>
    <w:rsid w:val="00595DBD"/>
    <w:rsid w:val="005F7BF4"/>
    <w:rsid w:val="00684129"/>
    <w:rsid w:val="007244D3"/>
    <w:rsid w:val="0075404E"/>
    <w:rsid w:val="007E7F34"/>
    <w:rsid w:val="0083624C"/>
    <w:rsid w:val="0089552E"/>
    <w:rsid w:val="008F3F2D"/>
    <w:rsid w:val="00905249"/>
    <w:rsid w:val="009157FD"/>
    <w:rsid w:val="0094662B"/>
    <w:rsid w:val="00957F0E"/>
    <w:rsid w:val="0097472C"/>
    <w:rsid w:val="009B0CB4"/>
    <w:rsid w:val="00A00644"/>
    <w:rsid w:val="00A04F09"/>
    <w:rsid w:val="00A24F23"/>
    <w:rsid w:val="00A34E85"/>
    <w:rsid w:val="00A90F21"/>
    <w:rsid w:val="00AD2268"/>
    <w:rsid w:val="00B05438"/>
    <w:rsid w:val="00B36063"/>
    <w:rsid w:val="00B617F1"/>
    <w:rsid w:val="00B96935"/>
    <w:rsid w:val="00C01F07"/>
    <w:rsid w:val="00C1635D"/>
    <w:rsid w:val="00C61994"/>
    <w:rsid w:val="00C64B86"/>
    <w:rsid w:val="00CA3D64"/>
    <w:rsid w:val="00CA544B"/>
    <w:rsid w:val="00CA5645"/>
    <w:rsid w:val="00CA73E8"/>
    <w:rsid w:val="00CC4ADF"/>
    <w:rsid w:val="00D07749"/>
    <w:rsid w:val="00DC4590"/>
    <w:rsid w:val="00DE1C1F"/>
    <w:rsid w:val="00E10A35"/>
    <w:rsid w:val="00E953A2"/>
    <w:rsid w:val="00F206D6"/>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2012-05-12T20:43:00Z</cp:lastPrinted>
  <dcterms:created xsi:type="dcterms:W3CDTF">2015-02-03T11:40:00Z</dcterms:created>
  <dcterms:modified xsi:type="dcterms:W3CDTF">2015-02-03T11:40:00Z</dcterms:modified>
</cp:coreProperties>
</file>