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159CE511" w14:textId="6BAD7B9F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66BD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Décret </w:t>
      </w:r>
      <w:bookmarkStart w:id="0" w:name="_GoBack"/>
      <w:r w:rsidRPr="00E66BD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n</w:t>
      </w:r>
      <w:r w:rsidRPr="00E66BDA">
        <w:rPr>
          <w:rFonts w:ascii="Arial" w:eastAsia="Times New Roman" w:hAnsi="Arial" w:cs="Arial"/>
          <w:sz w:val="24"/>
          <w:szCs w:val="24"/>
          <w:lang w:eastAsia="en-US"/>
        </w:rPr>
        <w:t>°</w:t>
      </w:r>
      <w:bookmarkEnd w:id="0"/>
      <w:r w:rsidR="00ED74E5">
        <w:rPr>
          <w:rFonts w:ascii="Arial" w:eastAsia="Times New Roman" w:hAnsi="Arial" w:cs="Arial"/>
          <w:sz w:val="24"/>
          <w:szCs w:val="24"/>
          <w:lang w:eastAsia="en-US"/>
        </w:rPr>
        <w:t> </w:t>
      </w:r>
      <w:r w:rsidRPr="00E66BD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95-598 du 3 avril 1995, fixant les modalités de fonctionnement et l</w:t>
      </w:r>
      <w:r w:rsidR="00ED74E5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’</w:t>
      </w:r>
      <w:r w:rsidRPr="00E66BD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organisation administrative et financière de l</w:t>
      </w:r>
      <w:r w:rsidR="00ED74E5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’</w:t>
      </w:r>
      <w:r w:rsidRPr="00E66BD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institut tunisien des études stratégiques ainsi que la composition et les attributions de son conseil consultatif</w:t>
      </w:r>
    </w:p>
    <w:p w14:paraId="3F0C8448" w14:textId="7777777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Président de la République,</w:t>
      </w:r>
    </w:p>
    <w:p w14:paraId="5E3BA674" w14:textId="20538752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Vu la loi n°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89-9 du 1er février 1989, relative aux participations et entreprises publiques, ensemble les textes qui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ont modifiée et complétée et notamment la loi n°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94-102 du 1er août 1994,</w:t>
      </w:r>
    </w:p>
    <w:p w14:paraId="316DAA5A" w14:textId="7237797D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Vu la loi n°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93-103 du 25 octobre 1993, portant création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institut tunisien des études stratégiques, </w:t>
      </w:r>
    </w:p>
    <w:p w14:paraId="572CFBFC" w14:textId="041B78B8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Vu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avis du ministre des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F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inances,</w:t>
      </w:r>
    </w:p>
    <w:p w14:paraId="73CBE2B6" w14:textId="7CEE79F5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Vu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avis du tribunal administratif,</w:t>
      </w:r>
    </w:p>
    <w:p w14:paraId="6FC55D18" w14:textId="1CD6B788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Décrète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01916107" w14:textId="7777777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CHAPITRE PREMIER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Disposition générale</w:t>
      </w:r>
    </w:p>
    <w:p w14:paraId="4143EE09" w14:textId="16734DE2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Article premier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tunisien des études stratégiques comprend les organes suivants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660F945A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conseil consultatif,</w:t>
      </w:r>
    </w:p>
    <w:p w14:paraId="7EBB3821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comité scientifique exécutif,</w:t>
      </w:r>
    </w:p>
    <w:p w14:paraId="6F65385B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structures scientifiques et administratives.</w:t>
      </w:r>
    </w:p>
    <w:p w14:paraId="192FEA54" w14:textId="10C3F1A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>CHAPITRE</w:t>
      </w:r>
      <w:r w:rsidR="00ED74E5">
        <w:rPr>
          <w:rFonts w:ascii="Arial" w:eastAsia="Times New Roman" w:hAnsi="Arial" w:cs="Arial"/>
          <w:b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II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Le directeur général</w:t>
      </w:r>
    </w:p>
    <w:p w14:paraId="5E3D6850" w14:textId="7C9CA671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2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tunisien des études stratégiques dispose de tous les pouvoirs nécessaires pour assurer les gestions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 Il dispose du pouvoir de décision pour toutes les questions qui concernent le fonctionnement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établissement.</w:t>
      </w:r>
    </w:p>
    <w:p w14:paraId="74D7B00F" w14:textId="607F8CAC" w:rsidR="00E66BDA" w:rsidRPr="00E66BDA" w:rsidRDefault="00ED74E5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À</w:t>
      </w:r>
      <w:r w:rsidR="00E66BDA"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cet effet, et dans la limite de ses attributions, il prend toutes les initiatives et toutes les décisions nécessaires. Il est chargé notamment</w:t>
      </w:r>
      <w:r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E66BDA"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118A17FA" w14:textId="4F604BAD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assurer le fonctionnement administratif, financier et scientifique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</w:t>
      </w:r>
    </w:p>
    <w:p w14:paraId="79C69447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fixer les programmes de travail et de veiller à leur exécution,</w:t>
      </w:r>
    </w:p>
    <w:p w14:paraId="52336C6A" w14:textId="187B7B0A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assurer la présidence des réunions du conseil consultatif et du comité scientifique exécutif et la préparation de leurs travaux,</w:t>
      </w:r>
    </w:p>
    <w:p w14:paraId="19D30BAE" w14:textId="009FDF42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de la fixation et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organisation des structures scientifiques et administratives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</w:t>
      </w:r>
    </w:p>
    <w:p w14:paraId="5073DEA3" w14:textId="317BF61C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de la représentation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institut auprès des tiers et dans tous les actes civils, administratifs et judiciaires, </w:t>
      </w:r>
    </w:p>
    <w:p w14:paraId="0830F78C" w14:textId="69394C90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élaboration et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exécution du budget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par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émission des ordres de recettes et de dépenses, </w:t>
      </w:r>
    </w:p>
    <w:p w14:paraId="599571A7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de passer les contrats programmes et se suivre leur exécution, </w:t>
      </w:r>
    </w:p>
    <w:p w14:paraId="5535EB8F" w14:textId="34A1ED94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de veiller à satisfaire les besoins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en moyens humains, matériels et financiers.</w:t>
      </w:r>
    </w:p>
    <w:p w14:paraId="109AA944" w14:textId="5B2935CF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Dans le cadre de la réglementation en vigueur il a autorité sur tout le personnel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agence.</w:t>
      </w:r>
    </w:p>
    <w:p w14:paraId="185C40CA" w14:textId="08742739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peut déléguer certaines de ses attributions, ainsi que sa signature aux agents placés sous son autorité.</w:t>
      </w:r>
    </w:p>
    <w:p w14:paraId="262E49DF" w14:textId="70A1C56B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lastRenderedPageBreak/>
        <w:t>Art. 3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recrute les cadres et les agents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institut par le biais du détachement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ou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par des contrats. Il peut également recruter les chercheurs, les conseillers et les experts soit par le biais de détachement soit par des contrats, il définit leurs attributions soit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une façon individuelle soit au sein de groupes de travail qu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il constitue et dont il fixe les modalités de fonctionnement.</w:t>
      </w:r>
    </w:p>
    <w:p w14:paraId="58D4A43C" w14:textId="6FB152F8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4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soumet au Président de la République les résultats des études et des recherches élaborées par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</w:t>
      </w:r>
    </w:p>
    <w:p w14:paraId="70AD82C9" w14:textId="33D1C07C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>CHAPITRE</w:t>
      </w:r>
      <w:r w:rsidR="00ED74E5">
        <w:rPr>
          <w:rFonts w:ascii="Arial" w:eastAsia="Times New Roman" w:hAnsi="Arial" w:cs="Arial"/>
          <w:b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III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Le conseil consultatif</w:t>
      </w:r>
    </w:p>
    <w:p w14:paraId="4B7F55ED" w14:textId="18449DD2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5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directeur général préside le conseil consultatif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tunisien des études stratégiques, ce conseil se compose de représentants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6F103724" w14:textId="0CF3C196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du ministère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’I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ntérieur,</w:t>
      </w:r>
    </w:p>
    <w:p w14:paraId="5C205C4F" w14:textId="61010139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du ministère des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ffaires étrangères,</w:t>
      </w:r>
    </w:p>
    <w:p w14:paraId="608222AE" w14:textId="4709353A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du ministère de la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éfense nationale,</w:t>
      </w:r>
    </w:p>
    <w:p w14:paraId="7B796132" w14:textId="4292730A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du ministère du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éveloppement économique,</w:t>
      </w:r>
    </w:p>
    <w:p w14:paraId="7A92C242" w14:textId="4D6A7614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du ministère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’E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nseignement supérieur,</w:t>
      </w:r>
    </w:p>
    <w:p w14:paraId="6B334AFF" w14:textId="36CB8C53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du secrétariat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’É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tat à la recherche scientifique et à la technologie.</w:t>
      </w:r>
    </w:p>
    <w:p w14:paraId="29D0FD91" w14:textId="73C45A2F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directeur général peut inviter toute personne compétente dans les questions programmées à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ordre du jour du conseil consultatif pour y assister.</w:t>
      </w:r>
    </w:p>
    <w:p w14:paraId="519C70ED" w14:textId="6CA3DE4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6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Les membres du conseil sont nommés par arrêté du ministre directeur du cabinet présidentiel sur proposition des ministres et du secrétaire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’É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tat concernés.</w:t>
      </w:r>
    </w:p>
    <w:p w14:paraId="79A51859" w14:textId="1B673405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7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conseil consultatif est chargé de donner son avis sur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4DA40FE2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programmes et les projets des recherches et des études,</w:t>
      </w:r>
    </w:p>
    <w:p w14:paraId="2A022D31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programmes de coopération,</w:t>
      </w:r>
    </w:p>
    <w:p w14:paraId="308C6D58" w14:textId="1A30B73C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projets du budget prévisionnel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exploitation et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investissement ainsi que les résultats financiers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</w:t>
      </w:r>
    </w:p>
    <w:p w14:paraId="164B99D2" w14:textId="3AF26718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organisation des structures administratives et financières,</w:t>
      </w:r>
    </w:p>
    <w:p w14:paraId="6D58C063" w14:textId="766E7F40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rapport annuel des activités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</w:t>
      </w:r>
    </w:p>
    <w:p w14:paraId="00D99187" w14:textId="1D08824C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et toutes autres questions qui lui sont soumises par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</w:t>
      </w:r>
    </w:p>
    <w:p w14:paraId="35B08963" w14:textId="1B2CC4C6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8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conseil consultatif se réunit sur convocation du directeur général, qui fixe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ordre du jour de la réunion, au moins une fois par trimestre et autant de fois que nécessaire.</w:t>
      </w:r>
    </w:p>
    <w:p w14:paraId="50936E49" w14:textId="1110C1F6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conseil ne peut se réunir valablement qu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en présence des deux tiers au moins de ses membres, si le quorum n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est pas atteint, une deuxième réunion se tiendra après deux semaines, quel que soit le nombre des membres présents.</w:t>
      </w:r>
    </w:p>
    <w:p w14:paraId="42FACB39" w14:textId="7F3B6ABB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travaux du conseil font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objet de procès-verbaux consignés dans des registres spéciaux tenus par les services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et signés par le directeur général. Copie de chaque procès-verbal est adressée aux membres du conseil et à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autorité de tutelle dans un délai maximum de huit jours.</w:t>
      </w:r>
    </w:p>
    <w:p w14:paraId="2A532858" w14:textId="4A133C41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conseil émet ses avis à la majorité des voix des membres présents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; en cas de partage, celle du président est prépondérante.</w:t>
      </w:r>
    </w:p>
    <w:p w14:paraId="533F7B41" w14:textId="7F6992E6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secrétariat du conseil est assuré par un agent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désigné à cet effet par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</w:t>
      </w:r>
    </w:p>
    <w:p w14:paraId="45684ACC" w14:textId="685B0349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>CHAPITRE</w:t>
      </w:r>
      <w:r w:rsidR="00ED74E5">
        <w:rPr>
          <w:rFonts w:ascii="Arial" w:eastAsia="Times New Roman" w:hAnsi="Arial" w:cs="Arial"/>
          <w:b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IV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Le comité scientifique exécutif</w:t>
      </w:r>
    </w:p>
    <w:p w14:paraId="4D0A5A50" w14:textId="6F2BFC09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9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comité scientifique exécutif assiste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dans le suivi et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évaluation des programmes des études et des recherches.</w:t>
      </w:r>
    </w:p>
    <w:p w14:paraId="21377F9D" w14:textId="7777777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 directeur général fixe par décision la composition du comité scientifique exécutif ainsi que ses modalités de fonctionnement.</w:t>
      </w:r>
    </w:p>
    <w:p w14:paraId="692767A0" w14:textId="56906B2B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10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comité scientifique exécutif est présidé par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institut qui en désigne les membres. </w:t>
      </w:r>
    </w:p>
    <w:p w14:paraId="27BF4ACE" w14:textId="7777777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CHAPITRE V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Les structures scientifiques et administratives</w:t>
      </w:r>
    </w:p>
    <w:p w14:paraId="70A586F7" w14:textId="6143562B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11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tunisien des études stratégiques comprend les structures scientifiques et administratives suivantes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1937B289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division des recherches et des études,</w:t>
      </w:r>
    </w:p>
    <w:p w14:paraId="08C8EE8A" w14:textId="634DE7F1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division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informatique et de la documentation,</w:t>
      </w:r>
    </w:p>
    <w:p w14:paraId="1F73E386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unité des services communs,</w:t>
      </w:r>
    </w:p>
    <w:p w14:paraId="3BEC58C8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unité de la communication et de la correspondance.</w:t>
      </w:r>
    </w:p>
    <w:p w14:paraId="7516C6F9" w14:textId="6F4D8BDB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12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La division des recherches et des études est chargée sous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autorité du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notamment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05DC21E4" w14:textId="2E9B0CE8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de la coordination du travail des groupes de recherches et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études,</w:t>
      </w:r>
    </w:p>
    <w:p w14:paraId="690CDCCD" w14:textId="0E4261C4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du suivi des dossiers qui leur sont confiés par le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</w:t>
      </w:r>
    </w:p>
    <w:p w14:paraId="2D7F8E6C" w14:textId="4ED419AB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assurer les relations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avec les chercheurs, les experts, les instituts, les bureaux et centres de recherches et études, les structures, les établissements et les administrations tunisiens et étrangers.</w:t>
      </w:r>
    </w:p>
    <w:p w14:paraId="118798EF" w14:textId="08F8828A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de veiller à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organisation des manifestations scientifiques, des rencontres, des colloques, des conférences, séminaires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études et des ateliers de travail.</w:t>
      </w:r>
    </w:p>
    <w:p w14:paraId="1A02B82E" w14:textId="0CFB416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13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La division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informatique et de la documentation, est chargée sous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autorité du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 notamment de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75608EC1" w14:textId="77777777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tenir une banque de données,</w:t>
      </w:r>
    </w:p>
    <w:p w14:paraId="14517E59" w14:textId="06452D99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rassembler les informations et les données entrant dans les attributions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et à cet effet établir des liens avec les réseaux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information similaires,</w:t>
      </w:r>
    </w:p>
    <w:p w14:paraId="1568D5F4" w14:textId="53B79461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rassembler les différents documents concernant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et veiller à leur conservation, leur mise à jour, leur résumé, leur traduction et leur publication.</w:t>
      </w:r>
    </w:p>
    <w:p w14:paraId="71E4BF43" w14:textId="10016433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14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unité des services communs est chargée, sous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autorité du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 notamment de la gestion des moyens humains, financiers et matériels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</w:t>
      </w:r>
    </w:p>
    <w:p w14:paraId="6F8A746F" w14:textId="3A804DB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15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unité de la communication et de la correspondance, rattachée directement au directeur général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 est chargée sous son autorité, notamment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organisation de la communication interne et externe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 ainsi que du rassemblement, de la répartition et du suivi de toutes les correspondances parvenues ou émanent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</w:t>
      </w:r>
    </w:p>
    <w:p w14:paraId="2DA1B359" w14:textId="59A669BD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>CHAPITRE</w:t>
      </w:r>
      <w:r w:rsidR="00ED74E5">
        <w:rPr>
          <w:rFonts w:ascii="Arial" w:eastAsia="Times New Roman" w:hAnsi="Arial" w:cs="Arial"/>
          <w:b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VI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Organisation financière</w:t>
      </w:r>
    </w:p>
    <w:p w14:paraId="2F6A1BE6" w14:textId="1E08D507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16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budget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doit mentionner séparément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14BD13BC" w14:textId="683029CA" w:rsidR="00E66BDA" w:rsidRPr="00E66BDA" w:rsidRDefault="00E66BDA" w:rsidP="00E66BDA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dans le chapitre des recettes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 les recettes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telles que fixées par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article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6 de la loi susvisée n°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93-103 du 25 octobre 1993,</w:t>
      </w:r>
    </w:p>
    <w:p w14:paraId="34AACA38" w14:textId="7ECAEDD7" w:rsidR="00E66BDA" w:rsidRPr="00E66BDA" w:rsidRDefault="00E66BDA" w:rsidP="00E66BDA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dans le chapitre des dépenses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171CA5A8" w14:textId="1D57E840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dépenses de fonctionnement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</w:t>
      </w:r>
    </w:p>
    <w:p w14:paraId="410BD34E" w14:textId="4E396550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les dépenses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investissement,</w:t>
      </w:r>
    </w:p>
    <w:p w14:paraId="7DB636CB" w14:textId="49B70DC9" w:rsidR="00E66BDA" w:rsidRPr="00E66BDA" w:rsidRDefault="00E66BDA" w:rsidP="00E66BD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sz w:val="20"/>
          <w:szCs w:val="20"/>
          <w:lang w:eastAsia="en-US"/>
        </w:rPr>
        <w:t>et toutes autres dépenses entrant dans le cadre des attributions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institut.</w:t>
      </w:r>
    </w:p>
    <w:p w14:paraId="5260F352" w14:textId="27654999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17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La comptabilité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est tenue conformément aux règles qui régissent la comptabilité commerciale.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exercice comptable commence le 1er janvier et se termine le 31 décembre de la même année.</w:t>
      </w:r>
    </w:p>
    <w:p w14:paraId="6C636814" w14:textId="56E7086B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>CHAPITRE</w:t>
      </w:r>
      <w:r w:rsidR="00ED74E5">
        <w:rPr>
          <w:rFonts w:ascii="Arial" w:eastAsia="Times New Roman" w:hAnsi="Arial" w:cs="Arial"/>
          <w:b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VII – </w:t>
      </w: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La tutelle</w:t>
      </w:r>
    </w:p>
    <w:p w14:paraId="3C9CB88F" w14:textId="32F25EDE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18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Les budgets prévisionnels de fonctionnement et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investissement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institut, le schéma de financement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investissement et les emprunts sont soumis à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approbation du ministre directeur du cabinet présidentiel et du ministre des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F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inances.</w:t>
      </w:r>
    </w:p>
    <w:p w14:paraId="63611200" w14:textId="0151A75F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19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Il est placé auprès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institut un contrôleur d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Etat désigné par arrêté du ministre des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F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inances, il exerce ses attributions conformément à la législation en vigueur et notamment la loi susvisée n°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89-9 du 1er février 1989.</w:t>
      </w:r>
    </w:p>
    <w:p w14:paraId="1DFC71DA" w14:textId="68C9FDC5" w:rsidR="00E66BDA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US"/>
        </w:rPr>
        <w:t>Art. 20 –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 xml:space="preserve"> Le ministre directeur du cabinet présidentiel et le ministre des 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F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inances sont chargés, chacun en ce qui le concerne, de l</w:t>
      </w:r>
      <w:r w:rsidR="00ED74E5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E66BDA">
        <w:rPr>
          <w:rFonts w:ascii="Arial" w:eastAsia="Times New Roman" w:hAnsi="Arial" w:cs="Arial"/>
          <w:sz w:val="20"/>
          <w:szCs w:val="20"/>
          <w:lang w:eastAsia="en-US"/>
        </w:rPr>
        <w:t>exécution du présent décret qui sera publié au Journal Officiel de la République Tunisienne.</w:t>
      </w:r>
    </w:p>
    <w:p w14:paraId="71E6F4F2" w14:textId="748D053C" w:rsidR="00E953A2" w:rsidRPr="00E66BDA" w:rsidRDefault="00E66BDA" w:rsidP="00E66BDA">
      <w:pPr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E66BDA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Tunis, le 3 avril 1995.</w:t>
      </w:r>
    </w:p>
    <w:sectPr w:rsidR="00E953A2" w:rsidRPr="00E66BDA" w:rsidSect="00A2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3763" w14:textId="77777777" w:rsidR="00724237" w:rsidRDefault="00724237" w:rsidP="008F3F2D">
      <w:r>
        <w:separator/>
      </w:r>
    </w:p>
  </w:endnote>
  <w:endnote w:type="continuationSeparator" w:id="0">
    <w:p w14:paraId="375ECFCB" w14:textId="77777777" w:rsidR="00724237" w:rsidRDefault="0072423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74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74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D74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D74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74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74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D74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D74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1472" w14:textId="77777777" w:rsidR="00ED74E5" w:rsidRDefault="00ED74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9E6B" w14:textId="77777777" w:rsidR="00724237" w:rsidRDefault="00724237" w:rsidP="008F3F2D">
      <w:r>
        <w:separator/>
      </w:r>
    </w:p>
  </w:footnote>
  <w:footnote w:type="continuationSeparator" w:id="0">
    <w:p w14:paraId="2F3B9D35" w14:textId="77777777" w:rsidR="00724237" w:rsidRDefault="0072423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4B9B2" w14:textId="77777777" w:rsidR="00ED74E5" w:rsidRDefault="00ED74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4783"/>
    <w:multiLevelType w:val="hybridMultilevel"/>
    <w:tmpl w:val="817278B2"/>
    <w:lvl w:ilvl="0" w:tplc="8062A3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2DC2"/>
    <w:multiLevelType w:val="hybridMultilevel"/>
    <w:tmpl w:val="2D14DC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61148"/>
    <w:rsid w:val="000B0D20"/>
    <w:rsid w:val="000D0DE1"/>
    <w:rsid w:val="001E5DD5"/>
    <w:rsid w:val="0020398F"/>
    <w:rsid w:val="002B19EE"/>
    <w:rsid w:val="00354137"/>
    <w:rsid w:val="003B6CD4"/>
    <w:rsid w:val="00400FF9"/>
    <w:rsid w:val="005F7BF4"/>
    <w:rsid w:val="00684129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238"/>
    <w:rsid w:val="00C64B86"/>
    <w:rsid w:val="00CC4ADF"/>
    <w:rsid w:val="00D07749"/>
    <w:rsid w:val="00E10A35"/>
    <w:rsid w:val="00E66BDA"/>
    <w:rsid w:val="00E953A2"/>
    <w:rsid w:val="00ED74E5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2015-09-16T16:50:00Z</dcterms:created>
  <dcterms:modified xsi:type="dcterms:W3CDTF">2015-09-16T16:50:00Z</dcterms:modified>
</cp:coreProperties>
</file>