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106852F9"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
          <w:bCs/>
          <w:spacing w:val="-1"/>
          <w:sz w:val="24"/>
          <w:szCs w:val="24"/>
        </w:rPr>
      </w:pPr>
      <w:r w:rsidRPr="00F7121A">
        <w:rPr>
          <w:rFonts w:ascii="Arial" w:eastAsia="Times New Roman" w:hAnsi="Arial" w:cs="Arial"/>
          <w:b/>
          <w:bCs/>
          <w:spacing w:val="-1"/>
          <w:sz w:val="24"/>
          <w:szCs w:val="24"/>
        </w:rPr>
        <w:t>Décret n° 93-2471 du 13 décembre 1993, fixant le taux de l'Indemnité de risque de contagion attribuée aux personnels militaires</w:t>
      </w:r>
    </w:p>
    <w:p w14:paraId="0D43D73A"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spacing w:val="-1"/>
          <w:sz w:val="20"/>
          <w:szCs w:val="20"/>
        </w:rPr>
      </w:pPr>
      <w:r w:rsidRPr="00F7121A">
        <w:rPr>
          <w:rFonts w:ascii="Arial" w:eastAsia="Times New Roman" w:hAnsi="Arial" w:cs="Arial"/>
          <w:spacing w:val="-1"/>
          <w:sz w:val="20"/>
          <w:szCs w:val="20"/>
        </w:rPr>
        <w:t>Le Président de la République,</w:t>
      </w:r>
    </w:p>
    <w:p w14:paraId="7EA48B75"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Sur-proposition du ministre de la défense  nationale,</w:t>
      </w:r>
    </w:p>
    <w:p w14:paraId="0986FAF9"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pacing w:val="7"/>
          <w:sz w:val="20"/>
          <w:szCs w:val="20"/>
        </w:rPr>
      </w:pPr>
      <w:r w:rsidRPr="00F7121A">
        <w:rPr>
          <w:rFonts w:ascii="Arial" w:eastAsia="Times New Roman" w:hAnsi="Arial" w:cs="Arial"/>
          <w:bCs/>
          <w:spacing w:val="7"/>
          <w:sz w:val="20"/>
          <w:szCs w:val="20"/>
        </w:rPr>
        <w:t>Vu la loi n° 67-20 du 31 mai 1967, portant statut général des militaires, ensemble des textes qui l'ont modifiée ou complétée,</w:t>
      </w:r>
    </w:p>
    <w:p w14:paraId="1A56D27D"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Vu la loi n° 83-112 du 12 décembre 1983, portant statut général des personnels de l'Etat, des collectivités publiques locales et des établissements publics à caractères administratif,</w:t>
      </w:r>
    </w:p>
    <w:p w14:paraId="0FD5C973"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Vu le décret n° 72-380 du 6 décembre 1972, portant statut particulier des militaires, ensemble des textes qui l'ont modifié ou complété,</w:t>
      </w:r>
    </w:p>
    <w:p w14:paraId="179DF18F"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Vu le décret n° 88-1024 du 6 juin 1988, étendant les dispositions du décret n° 81-1527 du 23 novembre 1981, fixant le statut particulier du personnel des institutions de formation du ministère de la santé publique au personnel para- médical relevant du ministère de la défense nationale,</w:t>
      </w:r>
    </w:p>
    <w:p w14:paraId="2148B7F1"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Vu le décret n° 904291 du 27 août 1990, relatif à l'institution d'une indemnité de risque de contagion,</w:t>
      </w:r>
    </w:p>
    <w:p w14:paraId="7DC56CD7"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pacing w:val="4"/>
          <w:sz w:val="20"/>
          <w:szCs w:val="20"/>
        </w:rPr>
        <w:t xml:space="preserve">Vu le décret n° 91-802 du 25 mai 1991, relatif à l'attribution de l'indemnité spécifique aux agents nantis d'emplois </w:t>
      </w:r>
      <w:r w:rsidRPr="00F7121A">
        <w:rPr>
          <w:rFonts w:ascii="Arial" w:eastAsia="Times New Roman" w:hAnsi="Arial" w:cs="Arial"/>
          <w:bCs/>
          <w:sz w:val="20"/>
          <w:szCs w:val="20"/>
        </w:rPr>
        <w:t>fonctionnels</w:t>
      </w:r>
    </w:p>
    <w:p w14:paraId="19ED8193"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Vu le décret n° 93-2125 du 25 octobre 1993, fixant les taux de la fonction publique</w:t>
      </w:r>
      <w:r w:rsidRPr="00F7121A">
        <w:rPr>
          <w:rFonts w:ascii="Arial" w:eastAsia="Times New Roman" w:hAnsi="Arial" w:cs="Arial"/>
          <w:bCs/>
          <w:sz w:val="20"/>
          <w:szCs w:val="20"/>
        </w:rPr>
        <w:br/>
        <w:t>l'indemnité de risque militaire,</w:t>
      </w:r>
    </w:p>
    <w:p w14:paraId="4790957B" w14:textId="77777777" w:rsidR="00F7121A" w:rsidRPr="00F7121A" w:rsidRDefault="00F7121A" w:rsidP="00F7121A">
      <w:pPr>
        <w:widowControl w:val="0"/>
        <w:tabs>
          <w:tab w:val="left" w:pos="5529"/>
        </w:tabs>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Cs/>
          <w:sz w:val="20"/>
          <w:szCs w:val="20"/>
        </w:rPr>
        <w:t>Vu le décret n° 93-2151 du 1</w:t>
      </w:r>
      <w:r w:rsidRPr="00F7121A">
        <w:rPr>
          <w:rFonts w:ascii="Arial" w:eastAsia="Times New Roman" w:hAnsi="Arial" w:cs="Arial"/>
          <w:bCs/>
          <w:sz w:val="20"/>
          <w:szCs w:val="20"/>
          <w:vertAlign w:val="superscript"/>
        </w:rPr>
        <w:t>er</w:t>
      </w:r>
      <w:r w:rsidRPr="00F7121A">
        <w:rPr>
          <w:rFonts w:ascii="Arial" w:eastAsia="Times New Roman" w:hAnsi="Arial" w:cs="Arial"/>
          <w:bCs/>
          <w:sz w:val="20"/>
          <w:szCs w:val="20"/>
        </w:rPr>
        <w:t xml:space="preserve"> novembre 1993, fixant les taux de l'indemnité de risque de contagion et notamment son article 2,</w:t>
      </w:r>
    </w:p>
    <w:p w14:paraId="10C3688D"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pacing w:val="-2"/>
          <w:sz w:val="20"/>
          <w:szCs w:val="20"/>
        </w:rPr>
      </w:pPr>
      <w:r w:rsidRPr="00F7121A">
        <w:rPr>
          <w:rFonts w:ascii="Arial" w:eastAsia="Times New Roman" w:hAnsi="Arial" w:cs="Arial"/>
          <w:bCs/>
          <w:spacing w:val="-2"/>
          <w:sz w:val="20"/>
          <w:szCs w:val="20"/>
        </w:rPr>
        <w:t>Vu l'avis du ministre des finances,</w:t>
      </w:r>
    </w:p>
    <w:p w14:paraId="338EAD09"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pacing w:val="-2"/>
          <w:sz w:val="20"/>
          <w:szCs w:val="20"/>
        </w:rPr>
      </w:pPr>
      <w:r w:rsidRPr="00F7121A">
        <w:rPr>
          <w:rFonts w:ascii="Arial" w:eastAsia="Times New Roman" w:hAnsi="Arial" w:cs="Arial"/>
          <w:bCs/>
          <w:spacing w:val="-2"/>
          <w:sz w:val="20"/>
          <w:szCs w:val="20"/>
        </w:rPr>
        <w:t xml:space="preserve"> Vu l'avis du tribunal administratif,</w:t>
      </w:r>
    </w:p>
    <w:p w14:paraId="0390F483"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pacing w:val="-2"/>
          <w:sz w:val="20"/>
          <w:szCs w:val="20"/>
        </w:rPr>
      </w:pPr>
      <w:r w:rsidRPr="00F7121A">
        <w:rPr>
          <w:rFonts w:ascii="Arial" w:eastAsia="Times New Roman" w:hAnsi="Arial" w:cs="Arial"/>
          <w:bCs/>
          <w:spacing w:val="-2"/>
          <w:sz w:val="20"/>
          <w:szCs w:val="20"/>
        </w:rPr>
        <w:t>Décrète :</w:t>
      </w:r>
    </w:p>
    <w:p w14:paraId="6B00E894" w14:textId="77777777" w:rsidR="00F7121A" w:rsidRPr="00F7121A" w:rsidRDefault="00F7121A" w:rsidP="00F7121A">
      <w:pPr>
        <w:widowControl w:val="0"/>
        <w:kinsoku w:val="0"/>
        <w:overflowPunct w:val="0"/>
        <w:spacing w:before="100" w:beforeAutospacing="1" w:after="0" w:line="360" w:lineRule="auto"/>
        <w:ind w:left="283"/>
        <w:jc w:val="both"/>
        <w:textAlignment w:val="baseline"/>
        <w:rPr>
          <w:rFonts w:ascii="Arial" w:eastAsia="Times New Roman" w:hAnsi="Arial" w:cs="Arial"/>
          <w:bCs/>
          <w:sz w:val="20"/>
          <w:szCs w:val="20"/>
        </w:rPr>
      </w:pPr>
      <w:r w:rsidRPr="00F7121A">
        <w:rPr>
          <w:rFonts w:ascii="Arial" w:eastAsia="Times New Roman" w:hAnsi="Arial" w:cs="Arial"/>
          <w:b/>
          <w:i/>
          <w:iCs/>
          <w:sz w:val="20"/>
          <w:szCs w:val="20"/>
        </w:rPr>
        <w:t xml:space="preserve">Article premier – </w:t>
      </w:r>
      <w:r w:rsidRPr="00F7121A">
        <w:rPr>
          <w:rFonts w:ascii="Arial" w:eastAsia="Times New Roman" w:hAnsi="Arial" w:cs="Arial"/>
          <w:bCs/>
          <w:sz w:val="20"/>
          <w:szCs w:val="20"/>
        </w:rPr>
        <w:t>Le taux de l'indemnité de risque de contagion attribuée aux personnels militaires visés au 2ème paragraphe de l'article premier du décret n</w:t>
      </w:r>
      <w:r w:rsidRPr="00F7121A">
        <w:rPr>
          <w:rFonts w:ascii="Arial" w:eastAsia="Times New Roman" w:hAnsi="Arial" w:cs="Arial"/>
          <w:bCs/>
          <w:sz w:val="20"/>
          <w:szCs w:val="20"/>
          <w:vertAlign w:val="superscript"/>
        </w:rPr>
        <w:t>°</w:t>
      </w:r>
      <w:r w:rsidRPr="00F7121A">
        <w:rPr>
          <w:rFonts w:ascii="Arial" w:eastAsia="Times New Roman" w:hAnsi="Arial" w:cs="Arial"/>
          <w:bCs/>
          <w:sz w:val="20"/>
          <w:szCs w:val="20"/>
        </w:rPr>
        <w:t xml:space="preserve"> 90-1291 du 27 août 1990 est fixé conformément aux indications du tableau ci-après :</w:t>
      </w:r>
    </w:p>
    <w:p w14:paraId="1CE76F4D" w14:textId="77777777" w:rsidR="00F7121A" w:rsidRPr="00F7121A" w:rsidRDefault="00F7121A" w:rsidP="00F7121A">
      <w:pPr>
        <w:widowControl w:val="0"/>
        <w:numPr>
          <w:ilvl w:val="0"/>
          <w:numId w:val="16"/>
        </w:numPr>
        <w:kinsoku w:val="0"/>
        <w:overflowPunct w:val="0"/>
        <w:spacing w:before="100" w:beforeAutospacing="1" w:after="0" w:line="360" w:lineRule="auto"/>
        <w:ind w:left="1494"/>
        <w:jc w:val="both"/>
        <w:textAlignment w:val="baseline"/>
        <w:rPr>
          <w:rFonts w:ascii="Arial" w:eastAsia="Times New Roman" w:hAnsi="Arial" w:cs="Arial"/>
          <w:bCs/>
          <w:spacing w:val="-2"/>
          <w:sz w:val="20"/>
          <w:szCs w:val="20"/>
        </w:rPr>
      </w:pPr>
      <w:r w:rsidRPr="00F7121A">
        <w:rPr>
          <w:rFonts w:ascii="Arial" w:eastAsia="Times New Roman" w:hAnsi="Arial" w:cs="Arial"/>
          <w:sz w:val="20"/>
          <w:szCs w:val="20"/>
        </w:rPr>
        <w:lastRenderedPageBreak/>
        <w:t xml:space="preserve">Personnels militaires classées dans la grille indiciaire de la fonction publique </w:t>
      </w:r>
    </w:p>
    <w:tbl>
      <w:tblPr>
        <w:tblStyle w:val="Grilledutableau1"/>
        <w:tblW w:w="9387" w:type="dxa"/>
        <w:tblInd w:w="360" w:type="dxa"/>
        <w:tblLook w:val="04A0" w:firstRow="1" w:lastRow="0" w:firstColumn="1" w:lastColumn="0" w:noHBand="0" w:noVBand="1"/>
      </w:tblPr>
      <w:tblGrid>
        <w:gridCol w:w="1166"/>
        <w:gridCol w:w="2410"/>
        <w:gridCol w:w="1842"/>
        <w:gridCol w:w="2127"/>
        <w:gridCol w:w="1842"/>
      </w:tblGrid>
      <w:tr w:rsidR="00F7121A" w:rsidRPr="00F7121A" w14:paraId="06D78668" w14:textId="77777777" w:rsidTr="00B27CD0">
        <w:tc>
          <w:tcPr>
            <w:tcW w:w="1166" w:type="dxa"/>
            <w:vMerge w:val="restart"/>
            <w:vAlign w:val="center"/>
          </w:tcPr>
          <w:p w14:paraId="75A5A846"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Catégorie</w:t>
            </w:r>
          </w:p>
        </w:tc>
        <w:tc>
          <w:tcPr>
            <w:tcW w:w="2410" w:type="dxa"/>
            <w:vMerge w:val="restart"/>
            <w:vAlign w:val="center"/>
          </w:tcPr>
          <w:p w14:paraId="6F357452"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Grade</w:t>
            </w:r>
          </w:p>
        </w:tc>
        <w:tc>
          <w:tcPr>
            <w:tcW w:w="5811" w:type="dxa"/>
            <w:gridSpan w:val="3"/>
            <w:vAlign w:val="center"/>
          </w:tcPr>
          <w:p w14:paraId="70BC6765"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Taux mensuel de l’indemnité</w:t>
            </w:r>
          </w:p>
        </w:tc>
      </w:tr>
      <w:tr w:rsidR="00F7121A" w:rsidRPr="00F7121A" w14:paraId="626E2711" w14:textId="77777777" w:rsidTr="00B27CD0">
        <w:tc>
          <w:tcPr>
            <w:tcW w:w="1166" w:type="dxa"/>
            <w:vMerge/>
            <w:vAlign w:val="center"/>
          </w:tcPr>
          <w:p w14:paraId="154BE8E0" w14:textId="77777777" w:rsidR="00F7121A" w:rsidRPr="00F7121A" w:rsidRDefault="00F7121A" w:rsidP="00F7121A">
            <w:pPr>
              <w:spacing w:after="0" w:line="360" w:lineRule="auto"/>
              <w:jc w:val="center"/>
              <w:rPr>
                <w:rFonts w:ascii="Arial" w:hAnsi="Arial" w:cs="Arial"/>
                <w:b/>
                <w:bCs/>
                <w:sz w:val="20"/>
                <w:szCs w:val="20"/>
                <w:lang w:eastAsia="en-US"/>
              </w:rPr>
            </w:pPr>
          </w:p>
        </w:tc>
        <w:tc>
          <w:tcPr>
            <w:tcW w:w="2410" w:type="dxa"/>
            <w:vMerge/>
            <w:vAlign w:val="center"/>
          </w:tcPr>
          <w:p w14:paraId="1C31897B" w14:textId="77777777" w:rsidR="00F7121A" w:rsidRPr="00F7121A" w:rsidRDefault="00F7121A" w:rsidP="00F7121A">
            <w:pPr>
              <w:spacing w:after="0" w:line="360" w:lineRule="auto"/>
              <w:jc w:val="center"/>
              <w:rPr>
                <w:rFonts w:ascii="Arial" w:hAnsi="Arial" w:cs="Arial"/>
                <w:b/>
                <w:bCs/>
                <w:sz w:val="20"/>
                <w:szCs w:val="20"/>
                <w:lang w:eastAsia="en-US"/>
              </w:rPr>
            </w:pPr>
          </w:p>
        </w:tc>
        <w:tc>
          <w:tcPr>
            <w:tcW w:w="1842" w:type="dxa"/>
            <w:vAlign w:val="center"/>
          </w:tcPr>
          <w:p w14:paraId="3373FEB0"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A compter du 1</w:t>
            </w:r>
            <w:r w:rsidRPr="00F7121A">
              <w:rPr>
                <w:rFonts w:ascii="Arial" w:hAnsi="Arial" w:cs="Arial"/>
                <w:b/>
                <w:bCs/>
                <w:sz w:val="20"/>
                <w:szCs w:val="20"/>
                <w:vertAlign w:val="superscript"/>
                <w:lang w:eastAsia="en-US"/>
              </w:rPr>
              <w:t>er</w:t>
            </w:r>
            <w:r w:rsidRPr="00F7121A">
              <w:rPr>
                <w:rFonts w:ascii="Arial" w:hAnsi="Arial" w:cs="Arial"/>
                <w:b/>
                <w:bCs/>
                <w:sz w:val="20"/>
                <w:szCs w:val="20"/>
                <w:lang w:eastAsia="en-US"/>
              </w:rPr>
              <w:t xml:space="preserve"> juillet 1993</w:t>
            </w:r>
          </w:p>
        </w:tc>
        <w:tc>
          <w:tcPr>
            <w:tcW w:w="2127" w:type="dxa"/>
            <w:vAlign w:val="center"/>
          </w:tcPr>
          <w:p w14:paraId="03FE78F6"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A compter du 1</w:t>
            </w:r>
            <w:r w:rsidRPr="00F7121A">
              <w:rPr>
                <w:rFonts w:ascii="Arial" w:hAnsi="Arial" w:cs="Arial"/>
                <w:b/>
                <w:bCs/>
                <w:sz w:val="20"/>
                <w:szCs w:val="20"/>
                <w:vertAlign w:val="superscript"/>
                <w:lang w:eastAsia="en-US"/>
              </w:rPr>
              <w:t>er</w:t>
            </w:r>
            <w:r w:rsidRPr="00F7121A">
              <w:rPr>
                <w:rFonts w:ascii="Arial" w:hAnsi="Arial" w:cs="Arial"/>
                <w:b/>
                <w:bCs/>
                <w:sz w:val="20"/>
                <w:szCs w:val="20"/>
                <w:lang w:eastAsia="en-US"/>
              </w:rPr>
              <w:t xml:space="preserve"> juillet 1994</w:t>
            </w:r>
          </w:p>
        </w:tc>
        <w:tc>
          <w:tcPr>
            <w:tcW w:w="1842" w:type="dxa"/>
            <w:vAlign w:val="center"/>
          </w:tcPr>
          <w:p w14:paraId="547332BC"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A compter du 1</w:t>
            </w:r>
            <w:r w:rsidRPr="00F7121A">
              <w:rPr>
                <w:rFonts w:ascii="Arial" w:hAnsi="Arial" w:cs="Arial"/>
                <w:b/>
                <w:bCs/>
                <w:sz w:val="20"/>
                <w:szCs w:val="20"/>
                <w:vertAlign w:val="superscript"/>
                <w:lang w:eastAsia="en-US"/>
              </w:rPr>
              <w:t>er</w:t>
            </w:r>
            <w:r w:rsidRPr="00F7121A">
              <w:rPr>
                <w:rFonts w:ascii="Arial" w:hAnsi="Arial" w:cs="Arial"/>
                <w:b/>
                <w:bCs/>
                <w:sz w:val="20"/>
                <w:szCs w:val="20"/>
                <w:lang w:eastAsia="en-US"/>
              </w:rPr>
              <w:t xml:space="preserve"> juillet 1995</w:t>
            </w:r>
          </w:p>
        </w:tc>
      </w:tr>
      <w:tr w:rsidR="00F7121A" w:rsidRPr="00F7121A" w14:paraId="0BECB216" w14:textId="77777777" w:rsidTr="00B27CD0">
        <w:tc>
          <w:tcPr>
            <w:tcW w:w="1166" w:type="dxa"/>
            <w:vAlign w:val="center"/>
          </w:tcPr>
          <w:p w14:paraId="36DDB009"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A1</w:t>
            </w:r>
          </w:p>
          <w:p w14:paraId="71B72295" w14:textId="77777777" w:rsidR="00F7121A" w:rsidRPr="00F7121A" w:rsidRDefault="00F7121A" w:rsidP="00F7121A">
            <w:pPr>
              <w:spacing w:after="0" w:line="360" w:lineRule="auto"/>
              <w:jc w:val="center"/>
              <w:rPr>
                <w:rFonts w:ascii="Arial" w:hAnsi="Arial" w:cs="Arial"/>
                <w:sz w:val="20"/>
                <w:szCs w:val="20"/>
                <w:lang w:eastAsia="en-US"/>
              </w:rPr>
            </w:pPr>
          </w:p>
        </w:tc>
        <w:tc>
          <w:tcPr>
            <w:tcW w:w="2410" w:type="dxa"/>
          </w:tcPr>
          <w:p w14:paraId="19B69BC0"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général de corps d’armée</w:t>
            </w:r>
          </w:p>
          <w:p w14:paraId="0D81E4B4"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général de division</w:t>
            </w:r>
          </w:p>
          <w:p w14:paraId="4B2F7999"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général brigade </w:t>
            </w:r>
          </w:p>
          <w:p w14:paraId="7758C2DD"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colonel major</w:t>
            </w:r>
          </w:p>
          <w:p w14:paraId="233881C9"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lieutenant-  colonel</w:t>
            </w:r>
          </w:p>
          <w:p w14:paraId="49D7CC44"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commandant </w:t>
            </w:r>
          </w:p>
        </w:tc>
        <w:tc>
          <w:tcPr>
            <w:tcW w:w="1842" w:type="dxa"/>
            <w:vAlign w:val="center"/>
          </w:tcPr>
          <w:p w14:paraId="76C43B25" w14:textId="77777777" w:rsidR="00F7121A" w:rsidRPr="00F7121A" w:rsidRDefault="00F7121A" w:rsidP="00F7121A">
            <w:pPr>
              <w:spacing w:after="0" w:line="360" w:lineRule="auto"/>
              <w:jc w:val="center"/>
              <w:rPr>
                <w:rFonts w:ascii="Arial" w:hAnsi="Arial" w:cs="Arial"/>
                <w:sz w:val="20"/>
                <w:szCs w:val="20"/>
                <w:lang w:eastAsia="en-US"/>
              </w:rPr>
            </w:pPr>
          </w:p>
          <w:p w14:paraId="611DF09A" w14:textId="77777777" w:rsidR="00F7121A" w:rsidRPr="00F7121A" w:rsidRDefault="00F7121A" w:rsidP="00F7121A">
            <w:pPr>
              <w:spacing w:after="0" w:line="360" w:lineRule="auto"/>
              <w:jc w:val="center"/>
              <w:rPr>
                <w:rFonts w:ascii="Arial" w:hAnsi="Arial" w:cs="Arial"/>
                <w:sz w:val="20"/>
                <w:szCs w:val="20"/>
                <w:lang w:eastAsia="en-US"/>
              </w:rPr>
            </w:pPr>
          </w:p>
          <w:p w14:paraId="54A42F04" w14:textId="77777777" w:rsidR="00F7121A" w:rsidRPr="00F7121A" w:rsidRDefault="00F7121A" w:rsidP="00F7121A">
            <w:pPr>
              <w:spacing w:after="0" w:line="360" w:lineRule="auto"/>
              <w:jc w:val="center"/>
              <w:rPr>
                <w:rFonts w:ascii="Arial" w:hAnsi="Arial" w:cs="Arial"/>
                <w:sz w:val="20"/>
                <w:szCs w:val="20"/>
                <w:lang w:eastAsia="en-US"/>
              </w:rPr>
            </w:pPr>
          </w:p>
          <w:p w14:paraId="39AC9BF2" w14:textId="77777777" w:rsidR="00F7121A" w:rsidRPr="00F7121A" w:rsidRDefault="00F7121A" w:rsidP="00F7121A">
            <w:pPr>
              <w:spacing w:after="0" w:line="360" w:lineRule="auto"/>
              <w:jc w:val="center"/>
              <w:rPr>
                <w:rFonts w:ascii="Arial" w:hAnsi="Arial" w:cs="Arial"/>
                <w:sz w:val="20"/>
                <w:szCs w:val="20"/>
                <w:lang w:eastAsia="en-US"/>
              </w:rPr>
            </w:pPr>
          </w:p>
          <w:p w14:paraId="2DE7778B"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150.000</w:t>
            </w:r>
          </w:p>
        </w:tc>
        <w:tc>
          <w:tcPr>
            <w:tcW w:w="2127" w:type="dxa"/>
            <w:vAlign w:val="center"/>
          </w:tcPr>
          <w:p w14:paraId="23E1E72A" w14:textId="77777777" w:rsidR="00F7121A" w:rsidRPr="00F7121A" w:rsidRDefault="00F7121A" w:rsidP="00F7121A">
            <w:pPr>
              <w:spacing w:after="0" w:line="360" w:lineRule="auto"/>
              <w:jc w:val="center"/>
              <w:rPr>
                <w:rFonts w:ascii="Arial" w:hAnsi="Arial" w:cs="Arial"/>
                <w:sz w:val="20"/>
                <w:szCs w:val="20"/>
                <w:lang w:eastAsia="en-US"/>
              </w:rPr>
            </w:pPr>
          </w:p>
          <w:p w14:paraId="2C6DFDAA" w14:textId="77777777" w:rsidR="00F7121A" w:rsidRPr="00F7121A" w:rsidRDefault="00F7121A" w:rsidP="00F7121A">
            <w:pPr>
              <w:spacing w:after="0" w:line="360" w:lineRule="auto"/>
              <w:jc w:val="center"/>
              <w:rPr>
                <w:rFonts w:ascii="Arial" w:hAnsi="Arial" w:cs="Arial"/>
                <w:sz w:val="20"/>
                <w:szCs w:val="20"/>
                <w:lang w:eastAsia="en-US"/>
              </w:rPr>
            </w:pPr>
          </w:p>
          <w:p w14:paraId="12A94092" w14:textId="77777777" w:rsidR="00F7121A" w:rsidRPr="00F7121A" w:rsidRDefault="00F7121A" w:rsidP="00F7121A">
            <w:pPr>
              <w:spacing w:after="0" w:line="360" w:lineRule="auto"/>
              <w:jc w:val="center"/>
              <w:rPr>
                <w:rFonts w:ascii="Arial" w:hAnsi="Arial" w:cs="Arial"/>
                <w:sz w:val="20"/>
                <w:szCs w:val="20"/>
                <w:lang w:eastAsia="en-US"/>
              </w:rPr>
            </w:pPr>
          </w:p>
          <w:p w14:paraId="021EE467" w14:textId="77777777" w:rsidR="00F7121A" w:rsidRPr="00F7121A" w:rsidRDefault="00F7121A" w:rsidP="00F7121A">
            <w:pPr>
              <w:spacing w:after="0" w:line="360" w:lineRule="auto"/>
              <w:jc w:val="center"/>
              <w:rPr>
                <w:rFonts w:ascii="Arial" w:hAnsi="Arial" w:cs="Arial"/>
                <w:sz w:val="20"/>
                <w:szCs w:val="20"/>
                <w:lang w:eastAsia="en-US"/>
              </w:rPr>
            </w:pPr>
          </w:p>
          <w:p w14:paraId="762D0234"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180.000</w:t>
            </w:r>
          </w:p>
        </w:tc>
        <w:tc>
          <w:tcPr>
            <w:tcW w:w="1842" w:type="dxa"/>
            <w:vAlign w:val="center"/>
          </w:tcPr>
          <w:p w14:paraId="37BA8D57" w14:textId="77777777" w:rsidR="00F7121A" w:rsidRPr="00F7121A" w:rsidRDefault="00F7121A" w:rsidP="00F7121A">
            <w:pPr>
              <w:spacing w:after="0" w:line="360" w:lineRule="auto"/>
              <w:jc w:val="center"/>
              <w:rPr>
                <w:rFonts w:ascii="Arial" w:hAnsi="Arial" w:cs="Arial"/>
                <w:sz w:val="20"/>
                <w:szCs w:val="20"/>
                <w:lang w:eastAsia="en-US"/>
              </w:rPr>
            </w:pPr>
          </w:p>
          <w:p w14:paraId="0ACD042C" w14:textId="77777777" w:rsidR="00F7121A" w:rsidRPr="00F7121A" w:rsidRDefault="00F7121A" w:rsidP="00F7121A">
            <w:pPr>
              <w:spacing w:after="0" w:line="360" w:lineRule="auto"/>
              <w:jc w:val="center"/>
              <w:rPr>
                <w:rFonts w:ascii="Arial" w:hAnsi="Arial" w:cs="Arial"/>
                <w:sz w:val="20"/>
                <w:szCs w:val="20"/>
                <w:lang w:eastAsia="en-US"/>
              </w:rPr>
            </w:pPr>
          </w:p>
          <w:p w14:paraId="7625BCFC" w14:textId="77777777" w:rsidR="00F7121A" w:rsidRPr="00F7121A" w:rsidRDefault="00F7121A" w:rsidP="00F7121A">
            <w:pPr>
              <w:spacing w:after="0" w:line="360" w:lineRule="auto"/>
              <w:jc w:val="center"/>
              <w:rPr>
                <w:rFonts w:ascii="Arial" w:hAnsi="Arial" w:cs="Arial"/>
                <w:sz w:val="20"/>
                <w:szCs w:val="20"/>
                <w:lang w:eastAsia="en-US"/>
              </w:rPr>
            </w:pPr>
          </w:p>
          <w:p w14:paraId="20D007CF" w14:textId="77777777" w:rsidR="00F7121A" w:rsidRPr="00F7121A" w:rsidRDefault="00F7121A" w:rsidP="00F7121A">
            <w:pPr>
              <w:spacing w:after="0" w:line="360" w:lineRule="auto"/>
              <w:jc w:val="center"/>
              <w:rPr>
                <w:rFonts w:ascii="Arial" w:hAnsi="Arial" w:cs="Arial"/>
                <w:sz w:val="20"/>
                <w:szCs w:val="20"/>
                <w:lang w:eastAsia="en-US"/>
              </w:rPr>
            </w:pPr>
          </w:p>
          <w:p w14:paraId="67C85834"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215.000</w:t>
            </w:r>
          </w:p>
        </w:tc>
      </w:tr>
      <w:tr w:rsidR="00F7121A" w:rsidRPr="00F7121A" w14:paraId="259AB5B5" w14:textId="77777777" w:rsidTr="00B27CD0">
        <w:tc>
          <w:tcPr>
            <w:tcW w:w="1166" w:type="dxa"/>
            <w:vAlign w:val="center"/>
          </w:tcPr>
          <w:p w14:paraId="1278BEC0"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A2</w:t>
            </w:r>
          </w:p>
        </w:tc>
        <w:tc>
          <w:tcPr>
            <w:tcW w:w="2410" w:type="dxa"/>
          </w:tcPr>
          <w:p w14:paraId="3D3A8D8A"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Capitaine </w:t>
            </w:r>
          </w:p>
          <w:p w14:paraId="0A54AD0B"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Lieutenant </w:t>
            </w:r>
          </w:p>
          <w:p w14:paraId="6D7F4487"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Sous- lieutenant </w:t>
            </w:r>
          </w:p>
        </w:tc>
        <w:tc>
          <w:tcPr>
            <w:tcW w:w="1842" w:type="dxa"/>
            <w:vAlign w:val="center"/>
          </w:tcPr>
          <w:p w14:paraId="4674DE76" w14:textId="77777777" w:rsidR="00F7121A" w:rsidRPr="00F7121A" w:rsidRDefault="00F7121A" w:rsidP="00F7121A">
            <w:pPr>
              <w:spacing w:after="0" w:line="360" w:lineRule="auto"/>
              <w:jc w:val="center"/>
              <w:rPr>
                <w:rFonts w:ascii="Arial" w:hAnsi="Arial" w:cs="Arial"/>
                <w:sz w:val="20"/>
                <w:szCs w:val="20"/>
                <w:lang w:eastAsia="en-US"/>
              </w:rPr>
            </w:pPr>
          </w:p>
          <w:p w14:paraId="0C87329B"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135.000</w:t>
            </w:r>
          </w:p>
        </w:tc>
        <w:tc>
          <w:tcPr>
            <w:tcW w:w="2127" w:type="dxa"/>
            <w:vAlign w:val="center"/>
          </w:tcPr>
          <w:p w14:paraId="39AD20B4" w14:textId="77777777" w:rsidR="00F7121A" w:rsidRPr="00F7121A" w:rsidRDefault="00F7121A" w:rsidP="00F7121A">
            <w:pPr>
              <w:spacing w:after="0" w:line="360" w:lineRule="auto"/>
              <w:jc w:val="center"/>
              <w:rPr>
                <w:rFonts w:ascii="Arial" w:hAnsi="Arial" w:cs="Arial"/>
                <w:sz w:val="20"/>
                <w:szCs w:val="20"/>
                <w:lang w:eastAsia="en-US"/>
              </w:rPr>
            </w:pPr>
          </w:p>
          <w:p w14:paraId="41CC5C4D"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163.000</w:t>
            </w:r>
          </w:p>
        </w:tc>
        <w:tc>
          <w:tcPr>
            <w:tcW w:w="1842" w:type="dxa"/>
            <w:vAlign w:val="center"/>
          </w:tcPr>
          <w:p w14:paraId="57FDD7AE" w14:textId="77777777" w:rsidR="00F7121A" w:rsidRPr="00F7121A" w:rsidRDefault="00F7121A" w:rsidP="00F7121A">
            <w:pPr>
              <w:spacing w:after="0" w:line="360" w:lineRule="auto"/>
              <w:jc w:val="center"/>
              <w:rPr>
                <w:rFonts w:ascii="Arial" w:hAnsi="Arial" w:cs="Arial"/>
                <w:sz w:val="20"/>
                <w:szCs w:val="20"/>
                <w:lang w:eastAsia="en-US"/>
              </w:rPr>
            </w:pPr>
          </w:p>
          <w:p w14:paraId="404802A8"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196.500</w:t>
            </w:r>
          </w:p>
        </w:tc>
      </w:tr>
      <w:tr w:rsidR="00F7121A" w:rsidRPr="00F7121A" w14:paraId="4AB54563" w14:textId="77777777" w:rsidTr="00B27CD0">
        <w:tc>
          <w:tcPr>
            <w:tcW w:w="1166" w:type="dxa"/>
            <w:vAlign w:val="center"/>
          </w:tcPr>
          <w:p w14:paraId="3B39AFF4"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A3</w:t>
            </w:r>
          </w:p>
        </w:tc>
        <w:tc>
          <w:tcPr>
            <w:tcW w:w="2410" w:type="dxa"/>
          </w:tcPr>
          <w:p w14:paraId="2F1FFD42"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Adjudant major </w:t>
            </w:r>
          </w:p>
          <w:p w14:paraId="794389BE"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Adjudant – chef (échelle 3)</w:t>
            </w:r>
          </w:p>
          <w:p w14:paraId="2F0823C7"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Adjudant (échelle)</w:t>
            </w:r>
          </w:p>
        </w:tc>
        <w:tc>
          <w:tcPr>
            <w:tcW w:w="1842" w:type="dxa"/>
            <w:vAlign w:val="center"/>
          </w:tcPr>
          <w:p w14:paraId="66515664" w14:textId="77777777" w:rsidR="00F7121A" w:rsidRPr="00F7121A" w:rsidRDefault="00F7121A" w:rsidP="00F7121A">
            <w:pPr>
              <w:spacing w:after="0" w:line="360" w:lineRule="auto"/>
              <w:jc w:val="center"/>
              <w:rPr>
                <w:rFonts w:ascii="Arial" w:hAnsi="Arial" w:cs="Arial"/>
                <w:sz w:val="20"/>
                <w:szCs w:val="20"/>
                <w:lang w:eastAsia="en-US"/>
              </w:rPr>
            </w:pPr>
          </w:p>
        </w:tc>
        <w:tc>
          <w:tcPr>
            <w:tcW w:w="2127" w:type="dxa"/>
            <w:vAlign w:val="center"/>
          </w:tcPr>
          <w:p w14:paraId="596C3702" w14:textId="77777777" w:rsidR="00F7121A" w:rsidRPr="00F7121A" w:rsidRDefault="00F7121A" w:rsidP="00F7121A">
            <w:pPr>
              <w:spacing w:after="0" w:line="360" w:lineRule="auto"/>
              <w:jc w:val="center"/>
              <w:rPr>
                <w:rFonts w:ascii="Arial" w:hAnsi="Arial" w:cs="Arial"/>
                <w:sz w:val="20"/>
                <w:szCs w:val="20"/>
                <w:lang w:eastAsia="en-US"/>
              </w:rPr>
            </w:pPr>
          </w:p>
          <w:p w14:paraId="27872B29"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175.500</w:t>
            </w:r>
          </w:p>
        </w:tc>
        <w:tc>
          <w:tcPr>
            <w:tcW w:w="1842" w:type="dxa"/>
            <w:vAlign w:val="center"/>
          </w:tcPr>
          <w:p w14:paraId="078F78CC" w14:textId="77777777" w:rsidR="00F7121A" w:rsidRPr="00F7121A" w:rsidRDefault="00F7121A" w:rsidP="00F7121A">
            <w:pPr>
              <w:spacing w:after="0" w:line="360" w:lineRule="auto"/>
              <w:jc w:val="center"/>
              <w:rPr>
                <w:rFonts w:ascii="Arial" w:hAnsi="Arial" w:cs="Arial"/>
                <w:sz w:val="20"/>
                <w:szCs w:val="20"/>
                <w:lang w:eastAsia="en-US"/>
              </w:rPr>
            </w:pPr>
          </w:p>
          <w:p w14:paraId="2619E6BA"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182.500</w:t>
            </w:r>
          </w:p>
        </w:tc>
      </w:tr>
      <w:tr w:rsidR="00F7121A" w:rsidRPr="00F7121A" w14:paraId="1B262156" w14:textId="77777777" w:rsidTr="00B27CD0">
        <w:tc>
          <w:tcPr>
            <w:tcW w:w="1166" w:type="dxa"/>
            <w:vAlign w:val="center"/>
          </w:tcPr>
          <w:p w14:paraId="2733BC4F"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B</w:t>
            </w:r>
          </w:p>
        </w:tc>
        <w:tc>
          <w:tcPr>
            <w:tcW w:w="2410" w:type="dxa"/>
          </w:tcPr>
          <w:p w14:paraId="06CBF845"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Aspirant </w:t>
            </w:r>
          </w:p>
          <w:p w14:paraId="5A00332D"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Adjudant – chef échelon 2 et 1 </w:t>
            </w:r>
          </w:p>
          <w:p w14:paraId="54B82375"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Adjudant échelle 2 et 1 </w:t>
            </w:r>
          </w:p>
          <w:p w14:paraId="37351EBD"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Maître échelle 3, 2, et 1 </w:t>
            </w:r>
          </w:p>
          <w:p w14:paraId="0BE90D55"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Sergent- chef échelle3 et 2 </w:t>
            </w:r>
          </w:p>
          <w:p w14:paraId="06B13319"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Sergent échelle1 </w:t>
            </w:r>
          </w:p>
        </w:tc>
        <w:tc>
          <w:tcPr>
            <w:tcW w:w="1842" w:type="dxa"/>
            <w:vAlign w:val="center"/>
          </w:tcPr>
          <w:p w14:paraId="570208EB" w14:textId="77777777" w:rsidR="00F7121A" w:rsidRPr="00F7121A" w:rsidRDefault="00F7121A" w:rsidP="00F7121A">
            <w:pPr>
              <w:spacing w:after="0" w:line="360" w:lineRule="auto"/>
              <w:jc w:val="center"/>
              <w:rPr>
                <w:rFonts w:ascii="Arial" w:hAnsi="Arial" w:cs="Arial"/>
                <w:sz w:val="20"/>
                <w:szCs w:val="20"/>
                <w:lang w:eastAsia="en-US"/>
              </w:rPr>
            </w:pPr>
          </w:p>
          <w:p w14:paraId="041CFA1D" w14:textId="77777777" w:rsidR="00F7121A" w:rsidRPr="00F7121A" w:rsidRDefault="00F7121A" w:rsidP="00F7121A">
            <w:pPr>
              <w:spacing w:after="0" w:line="360" w:lineRule="auto"/>
              <w:jc w:val="center"/>
              <w:rPr>
                <w:rFonts w:ascii="Arial" w:hAnsi="Arial" w:cs="Arial"/>
                <w:sz w:val="20"/>
                <w:szCs w:val="20"/>
                <w:lang w:eastAsia="en-US"/>
              </w:rPr>
            </w:pPr>
          </w:p>
          <w:p w14:paraId="66B3DCBC" w14:textId="77777777" w:rsidR="00F7121A" w:rsidRPr="00F7121A" w:rsidRDefault="00F7121A" w:rsidP="00F7121A">
            <w:pPr>
              <w:spacing w:after="0" w:line="360" w:lineRule="auto"/>
              <w:jc w:val="center"/>
              <w:rPr>
                <w:rFonts w:ascii="Arial" w:hAnsi="Arial" w:cs="Arial"/>
                <w:sz w:val="20"/>
                <w:szCs w:val="20"/>
                <w:lang w:eastAsia="en-US"/>
              </w:rPr>
            </w:pPr>
          </w:p>
          <w:p w14:paraId="1D280CF6"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110.000</w:t>
            </w:r>
          </w:p>
        </w:tc>
        <w:tc>
          <w:tcPr>
            <w:tcW w:w="2127" w:type="dxa"/>
            <w:vAlign w:val="center"/>
          </w:tcPr>
          <w:p w14:paraId="24860C17" w14:textId="77777777" w:rsidR="00F7121A" w:rsidRPr="00F7121A" w:rsidRDefault="00F7121A" w:rsidP="00F7121A">
            <w:pPr>
              <w:spacing w:after="0" w:line="360" w:lineRule="auto"/>
              <w:jc w:val="center"/>
              <w:rPr>
                <w:rFonts w:ascii="Arial" w:hAnsi="Arial" w:cs="Arial"/>
                <w:sz w:val="20"/>
                <w:szCs w:val="20"/>
                <w:lang w:eastAsia="en-US"/>
              </w:rPr>
            </w:pPr>
          </w:p>
          <w:p w14:paraId="458A9636" w14:textId="77777777" w:rsidR="00F7121A" w:rsidRPr="00F7121A" w:rsidRDefault="00F7121A" w:rsidP="00F7121A">
            <w:pPr>
              <w:spacing w:after="0" w:line="360" w:lineRule="auto"/>
              <w:jc w:val="center"/>
              <w:rPr>
                <w:rFonts w:ascii="Arial" w:hAnsi="Arial" w:cs="Arial"/>
                <w:sz w:val="20"/>
                <w:szCs w:val="20"/>
                <w:lang w:eastAsia="en-US"/>
              </w:rPr>
            </w:pPr>
          </w:p>
          <w:p w14:paraId="70B176DF" w14:textId="77777777" w:rsidR="00F7121A" w:rsidRPr="00F7121A" w:rsidRDefault="00F7121A" w:rsidP="00F7121A">
            <w:pPr>
              <w:spacing w:after="0" w:line="360" w:lineRule="auto"/>
              <w:jc w:val="center"/>
              <w:rPr>
                <w:rFonts w:ascii="Arial" w:hAnsi="Arial" w:cs="Arial"/>
                <w:sz w:val="20"/>
                <w:szCs w:val="20"/>
                <w:lang w:eastAsia="en-US"/>
              </w:rPr>
            </w:pPr>
          </w:p>
          <w:p w14:paraId="632A405F"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129.000</w:t>
            </w:r>
          </w:p>
        </w:tc>
        <w:tc>
          <w:tcPr>
            <w:tcW w:w="1842" w:type="dxa"/>
            <w:vAlign w:val="center"/>
          </w:tcPr>
          <w:p w14:paraId="66F463FC" w14:textId="77777777" w:rsidR="00F7121A" w:rsidRPr="00F7121A" w:rsidRDefault="00F7121A" w:rsidP="00F7121A">
            <w:pPr>
              <w:spacing w:after="0" w:line="360" w:lineRule="auto"/>
              <w:jc w:val="center"/>
              <w:rPr>
                <w:rFonts w:ascii="Arial" w:hAnsi="Arial" w:cs="Arial"/>
                <w:sz w:val="20"/>
                <w:szCs w:val="20"/>
                <w:lang w:eastAsia="en-US"/>
              </w:rPr>
            </w:pPr>
          </w:p>
          <w:p w14:paraId="48ACB4D4" w14:textId="77777777" w:rsidR="00F7121A" w:rsidRPr="00F7121A" w:rsidRDefault="00F7121A" w:rsidP="00F7121A">
            <w:pPr>
              <w:spacing w:after="0" w:line="360" w:lineRule="auto"/>
              <w:jc w:val="center"/>
              <w:rPr>
                <w:rFonts w:ascii="Arial" w:hAnsi="Arial" w:cs="Arial"/>
                <w:sz w:val="20"/>
                <w:szCs w:val="20"/>
                <w:lang w:eastAsia="en-US"/>
              </w:rPr>
            </w:pPr>
          </w:p>
          <w:p w14:paraId="24A213A4" w14:textId="77777777" w:rsidR="00F7121A" w:rsidRPr="00F7121A" w:rsidRDefault="00F7121A" w:rsidP="00F7121A">
            <w:pPr>
              <w:spacing w:after="0" w:line="360" w:lineRule="auto"/>
              <w:jc w:val="center"/>
              <w:rPr>
                <w:rFonts w:ascii="Arial" w:hAnsi="Arial" w:cs="Arial"/>
                <w:sz w:val="20"/>
                <w:szCs w:val="20"/>
                <w:lang w:eastAsia="en-US"/>
              </w:rPr>
            </w:pPr>
          </w:p>
          <w:p w14:paraId="78D84042"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149.000</w:t>
            </w:r>
          </w:p>
        </w:tc>
      </w:tr>
      <w:tr w:rsidR="00F7121A" w:rsidRPr="00F7121A" w14:paraId="24FC6C42" w14:textId="77777777" w:rsidTr="00B27CD0">
        <w:tc>
          <w:tcPr>
            <w:tcW w:w="1166" w:type="dxa"/>
            <w:vAlign w:val="center"/>
          </w:tcPr>
          <w:p w14:paraId="20D98F60"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C</w:t>
            </w:r>
          </w:p>
        </w:tc>
        <w:tc>
          <w:tcPr>
            <w:tcW w:w="2410" w:type="dxa"/>
          </w:tcPr>
          <w:p w14:paraId="555E1304"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Sergent – chef échelle1</w:t>
            </w:r>
          </w:p>
          <w:p w14:paraId="150C62B0"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Sergent  échelle 1</w:t>
            </w:r>
          </w:p>
        </w:tc>
        <w:tc>
          <w:tcPr>
            <w:tcW w:w="1842" w:type="dxa"/>
            <w:vAlign w:val="center"/>
          </w:tcPr>
          <w:p w14:paraId="1732B270"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95.000</w:t>
            </w:r>
          </w:p>
        </w:tc>
        <w:tc>
          <w:tcPr>
            <w:tcW w:w="2127" w:type="dxa"/>
            <w:vAlign w:val="center"/>
          </w:tcPr>
          <w:p w14:paraId="0EF42485"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110.000</w:t>
            </w:r>
          </w:p>
        </w:tc>
        <w:tc>
          <w:tcPr>
            <w:tcW w:w="1842" w:type="dxa"/>
            <w:vAlign w:val="center"/>
          </w:tcPr>
          <w:p w14:paraId="4729ADC6"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127.000</w:t>
            </w:r>
          </w:p>
        </w:tc>
      </w:tr>
      <w:tr w:rsidR="00F7121A" w:rsidRPr="00F7121A" w14:paraId="6EEC82F9" w14:textId="77777777" w:rsidTr="00B27CD0">
        <w:tc>
          <w:tcPr>
            <w:tcW w:w="1166" w:type="dxa"/>
            <w:vAlign w:val="center"/>
          </w:tcPr>
          <w:p w14:paraId="02D1E5F7"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D</w:t>
            </w:r>
          </w:p>
        </w:tc>
        <w:tc>
          <w:tcPr>
            <w:tcW w:w="2410" w:type="dxa"/>
          </w:tcPr>
          <w:p w14:paraId="496FDADE"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Caporal - chef </w:t>
            </w:r>
          </w:p>
          <w:p w14:paraId="632C61F2"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Caporal </w:t>
            </w:r>
          </w:p>
        </w:tc>
        <w:tc>
          <w:tcPr>
            <w:tcW w:w="1842" w:type="dxa"/>
            <w:vAlign w:val="center"/>
          </w:tcPr>
          <w:p w14:paraId="38B675F4"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94.000</w:t>
            </w:r>
          </w:p>
        </w:tc>
        <w:tc>
          <w:tcPr>
            <w:tcW w:w="2127" w:type="dxa"/>
            <w:vAlign w:val="center"/>
          </w:tcPr>
          <w:p w14:paraId="4AD7E0D7"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107.000</w:t>
            </w:r>
          </w:p>
        </w:tc>
        <w:tc>
          <w:tcPr>
            <w:tcW w:w="1842" w:type="dxa"/>
            <w:vAlign w:val="center"/>
          </w:tcPr>
          <w:p w14:paraId="56D971B8"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122.000</w:t>
            </w:r>
          </w:p>
        </w:tc>
      </w:tr>
    </w:tbl>
    <w:p w14:paraId="02697037" w14:textId="77777777" w:rsidR="00F7121A" w:rsidRPr="00F7121A" w:rsidRDefault="00F7121A" w:rsidP="00F7121A">
      <w:pPr>
        <w:numPr>
          <w:ilvl w:val="0"/>
          <w:numId w:val="16"/>
        </w:numPr>
        <w:spacing w:before="100" w:beforeAutospacing="1" w:after="0" w:line="360" w:lineRule="auto"/>
        <w:ind w:left="1494"/>
        <w:contextualSpacing/>
        <w:jc w:val="both"/>
        <w:rPr>
          <w:rFonts w:ascii="Arial" w:eastAsia="Calibri" w:hAnsi="Arial" w:cs="Arial"/>
          <w:sz w:val="20"/>
          <w:szCs w:val="20"/>
          <w:lang w:eastAsia="en-US"/>
        </w:rPr>
      </w:pPr>
      <w:r w:rsidRPr="00F7121A">
        <w:rPr>
          <w:rFonts w:ascii="Arial" w:eastAsia="Calibri" w:hAnsi="Arial" w:cs="Arial"/>
          <w:sz w:val="20"/>
          <w:szCs w:val="20"/>
          <w:lang w:eastAsia="en-US"/>
        </w:rPr>
        <w:t>Personnels militaires non classées dans la grille indiciaire de la fonction publique :</w:t>
      </w:r>
    </w:p>
    <w:p w14:paraId="220294B8" w14:textId="77777777" w:rsidR="00F7121A" w:rsidRPr="00F7121A" w:rsidRDefault="00F7121A" w:rsidP="00F7121A">
      <w:pPr>
        <w:spacing w:line="360" w:lineRule="auto"/>
        <w:contextualSpacing/>
        <w:jc w:val="both"/>
        <w:rPr>
          <w:rFonts w:ascii="Arial" w:eastAsia="Calibri" w:hAnsi="Arial" w:cs="Arial"/>
          <w:sz w:val="20"/>
          <w:szCs w:val="20"/>
          <w:lang w:eastAsia="en-US"/>
        </w:rPr>
      </w:pPr>
    </w:p>
    <w:tbl>
      <w:tblPr>
        <w:tblStyle w:val="Grilledutableau1"/>
        <w:tblW w:w="9256" w:type="dxa"/>
        <w:tblInd w:w="392" w:type="dxa"/>
        <w:tblLook w:val="04A0" w:firstRow="1" w:lastRow="0" w:firstColumn="1" w:lastColumn="0" w:noHBand="0" w:noVBand="1"/>
      </w:tblPr>
      <w:tblGrid>
        <w:gridCol w:w="1139"/>
        <w:gridCol w:w="1838"/>
        <w:gridCol w:w="1906"/>
        <w:gridCol w:w="2035"/>
        <w:gridCol w:w="2338"/>
      </w:tblGrid>
      <w:tr w:rsidR="00F7121A" w:rsidRPr="00F7121A" w14:paraId="2C322A00" w14:textId="77777777" w:rsidTr="00B27CD0">
        <w:trPr>
          <w:trHeight w:val="482"/>
        </w:trPr>
        <w:tc>
          <w:tcPr>
            <w:tcW w:w="1139" w:type="dxa"/>
            <w:vMerge w:val="restart"/>
            <w:vAlign w:val="center"/>
          </w:tcPr>
          <w:p w14:paraId="58102D2A"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Catégorie</w:t>
            </w:r>
          </w:p>
        </w:tc>
        <w:tc>
          <w:tcPr>
            <w:tcW w:w="1838" w:type="dxa"/>
            <w:vMerge w:val="restart"/>
            <w:vAlign w:val="center"/>
          </w:tcPr>
          <w:p w14:paraId="7FA17853"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Grade</w:t>
            </w:r>
          </w:p>
        </w:tc>
        <w:tc>
          <w:tcPr>
            <w:tcW w:w="6279" w:type="dxa"/>
            <w:gridSpan w:val="3"/>
            <w:vAlign w:val="center"/>
          </w:tcPr>
          <w:p w14:paraId="709200B6"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Taux mensuel de l’indemnité</w:t>
            </w:r>
          </w:p>
        </w:tc>
      </w:tr>
      <w:tr w:rsidR="00F7121A" w:rsidRPr="00F7121A" w14:paraId="423B0EC6" w14:textId="77777777" w:rsidTr="00B27CD0">
        <w:tc>
          <w:tcPr>
            <w:tcW w:w="1139" w:type="dxa"/>
            <w:vMerge/>
            <w:vAlign w:val="center"/>
          </w:tcPr>
          <w:p w14:paraId="1B81FA6C" w14:textId="77777777" w:rsidR="00F7121A" w:rsidRPr="00F7121A" w:rsidRDefault="00F7121A" w:rsidP="00F7121A">
            <w:pPr>
              <w:spacing w:after="0" w:line="360" w:lineRule="auto"/>
              <w:jc w:val="center"/>
              <w:rPr>
                <w:rFonts w:ascii="Arial" w:hAnsi="Arial" w:cs="Arial"/>
                <w:b/>
                <w:bCs/>
                <w:sz w:val="20"/>
                <w:szCs w:val="20"/>
                <w:lang w:eastAsia="en-US"/>
              </w:rPr>
            </w:pPr>
          </w:p>
        </w:tc>
        <w:tc>
          <w:tcPr>
            <w:tcW w:w="1838" w:type="dxa"/>
            <w:vMerge/>
            <w:vAlign w:val="center"/>
          </w:tcPr>
          <w:p w14:paraId="6470D274" w14:textId="77777777" w:rsidR="00F7121A" w:rsidRPr="00F7121A" w:rsidRDefault="00F7121A" w:rsidP="00F7121A">
            <w:pPr>
              <w:spacing w:after="0" w:line="360" w:lineRule="auto"/>
              <w:jc w:val="center"/>
              <w:rPr>
                <w:rFonts w:ascii="Arial" w:hAnsi="Arial" w:cs="Arial"/>
                <w:b/>
                <w:bCs/>
                <w:sz w:val="20"/>
                <w:szCs w:val="20"/>
                <w:lang w:eastAsia="en-US"/>
              </w:rPr>
            </w:pPr>
          </w:p>
        </w:tc>
        <w:tc>
          <w:tcPr>
            <w:tcW w:w="1906" w:type="dxa"/>
            <w:vAlign w:val="center"/>
          </w:tcPr>
          <w:p w14:paraId="5746A872"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A compter de 1</w:t>
            </w:r>
            <w:r w:rsidRPr="00F7121A">
              <w:rPr>
                <w:rFonts w:ascii="Arial" w:hAnsi="Arial" w:cs="Arial"/>
                <w:b/>
                <w:bCs/>
                <w:sz w:val="20"/>
                <w:szCs w:val="20"/>
                <w:vertAlign w:val="superscript"/>
                <w:lang w:eastAsia="en-US"/>
              </w:rPr>
              <w:t>er</w:t>
            </w:r>
            <w:r w:rsidRPr="00F7121A">
              <w:rPr>
                <w:rFonts w:ascii="Arial" w:hAnsi="Arial" w:cs="Arial"/>
                <w:b/>
                <w:bCs/>
                <w:sz w:val="20"/>
                <w:szCs w:val="20"/>
                <w:lang w:eastAsia="en-US"/>
              </w:rPr>
              <w:t xml:space="preserve"> juillet 1993</w:t>
            </w:r>
          </w:p>
        </w:tc>
        <w:tc>
          <w:tcPr>
            <w:tcW w:w="2035" w:type="dxa"/>
            <w:vAlign w:val="center"/>
          </w:tcPr>
          <w:p w14:paraId="4CB9045D"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A compter de 1</w:t>
            </w:r>
            <w:r w:rsidRPr="00F7121A">
              <w:rPr>
                <w:rFonts w:ascii="Arial" w:hAnsi="Arial" w:cs="Arial"/>
                <w:b/>
                <w:bCs/>
                <w:sz w:val="20"/>
                <w:szCs w:val="20"/>
                <w:vertAlign w:val="superscript"/>
                <w:lang w:eastAsia="en-US"/>
              </w:rPr>
              <w:t>er</w:t>
            </w:r>
            <w:r w:rsidRPr="00F7121A">
              <w:rPr>
                <w:rFonts w:ascii="Arial" w:hAnsi="Arial" w:cs="Arial"/>
                <w:b/>
                <w:bCs/>
                <w:sz w:val="20"/>
                <w:szCs w:val="20"/>
                <w:lang w:eastAsia="en-US"/>
              </w:rPr>
              <w:t xml:space="preserve"> juillet 1994</w:t>
            </w:r>
          </w:p>
        </w:tc>
        <w:tc>
          <w:tcPr>
            <w:tcW w:w="2338" w:type="dxa"/>
            <w:vAlign w:val="center"/>
          </w:tcPr>
          <w:p w14:paraId="70E953A7" w14:textId="77777777" w:rsidR="00F7121A" w:rsidRPr="00F7121A" w:rsidRDefault="00F7121A" w:rsidP="00F7121A">
            <w:pPr>
              <w:spacing w:after="0" w:line="360" w:lineRule="auto"/>
              <w:jc w:val="center"/>
              <w:rPr>
                <w:rFonts w:ascii="Arial" w:hAnsi="Arial" w:cs="Arial"/>
                <w:b/>
                <w:bCs/>
                <w:sz w:val="20"/>
                <w:szCs w:val="20"/>
                <w:lang w:eastAsia="en-US"/>
              </w:rPr>
            </w:pPr>
            <w:r w:rsidRPr="00F7121A">
              <w:rPr>
                <w:rFonts w:ascii="Arial" w:hAnsi="Arial" w:cs="Arial"/>
                <w:b/>
                <w:bCs/>
                <w:sz w:val="20"/>
                <w:szCs w:val="20"/>
                <w:lang w:eastAsia="en-US"/>
              </w:rPr>
              <w:t>A compter de 1</w:t>
            </w:r>
            <w:r w:rsidRPr="00F7121A">
              <w:rPr>
                <w:rFonts w:ascii="Arial" w:hAnsi="Arial" w:cs="Arial"/>
                <w:b/>
                <w:bCs/>
                <w:sz w:val="20"/>
                <w:szCs w:val="20"/>
                <w:vertAlign w:val="superscript"/>
                <w:lang w:eastAsia="en-US"/>
              </w:rPr>
              <w:t>er</w:t>
            </w:r>
            <w:r w:rsidRPr="00F7121A">
              <w:rPr>
                <w:rFonts w:ascii="Arial" w:hAnsi="Arial" w:cs="Arial"/>
                <w:b/>
                <w:bCs/>
                <w:sz w:val="20"/>
                <w:szCs w:val="20"/>
                <w:lang w:eastAsia="en-US"/>
              </w:rPr>
              <w:t xml:space="preserve"> juillet 1995</w:t>
            </w:r>
          </w:p>
        </w:tc>
      </w:tr>
      <w:tr w:rsidR="00F7121A" w:rsidRPr="00F7121A" w14:paraId="04096E9D" w14:textId="77777777" w:rsidTr="00B27CD0">
        <w:tc>
          <w:tcPr>
            <w:tcW w:w="1139" w:type="dxa"/>
          </w:tcPr>
          <w:p w14:paraId="6EB2AB5A"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Ouvrier </w:t>
            </w:r>
          </w:p>
        </w:tc>
        <w:tc>
          <w:tcPr>
            <w:tcW w:w="1838" w:type="dxa"/>
          </w:tcPr>
          <w:p w14:paraId="57648B56"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Soldat 1</w:t>
            </w:r>
            <w:r w:rsidRPr="00F7121A">
              <w:rPr>
                <w:rFonts w:ascii="Arial" w:hAnsi="Arial" w:cs="Arial"/>
                <w:sz w:val="20"/>
                <w:szCs w:val="20"/>
                <w:vertAlign w:val="superscript"/>
                <w:lang w:eastAsia="en-US"/>
              </w:rPr>
              <w:t>ère</w:t>
            </w:r>
            <w:r w:rsidRPr="00F7121A">
              <w:rPr>
                <w:rFonts w:ascii="Arial" w:hAnsi="Arial" w:cs="Arial"/>
                <w:sz w:val="20"/>
                <w:szCs w:val="20"/>
                <w:lang w:eastAsia="en-US"/>
              </w:rPr>
              <w:t xml:space="preserve"> classe</w:t>
            </w:r>
          </w:p>
          <w:p w14:paraId="474254CF" w14:textId="77777777" w:rsidR="00F7121A" w:rsidRPr="00F7121A" w:rsidRDefault="00F7121A" w:rsidP="00F7121A">
            <w:pPr>
              <w:spacing w:after="0" w:line="360" w:lineRule="auto"/>
              <w:jc w:val="both"/>
              <w:rPr>
                <w:rFonts w:ascii="Arial" w:hAnsi="Arial" w:cs="Arial"/>
                <w:sz w:val="20"/>
                <w:szCs w:val="20"/>
                <w:lang w:eastAsia="en-US"/>
              </w:rPr>
            </w:pPr>
            <w:r w:rsidRPr="00F7121A">
              <w:rPr>
                <w:rFonts w:ascii="Arial" w:hAnsi="Arial" w:cs="Arial"/>
                <w:sz w:val="20"/>
                <w:szCs w:val="20"/>
                <w:lang w:eastAsia="en-US"/>
              </w:rPr>
              <w:t xml:space="preserve"> ou soldat ADL</w:t>
            </w:r>
          </w:p>
        </w:tc>
        <w:tc>
          <w:tcPr>
            <w:tcW w:w="1906" w:type="dxa"/>
            <w:vAlign w:val="center"/>
          </w:tcPr>
          <w:p w14:paraId="56BC589F"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78.000</w:t>
            </w:r>
          </w:p>
        </w:tc>
        <w:tc>
          <w:tcPr>
            <w:tcW w:w="2035" w:type="dxa"/>
            <w:vAlign w:val="center"/>
          </w:tcPr>
          <w:p w14:paraId="12A0BA49"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91.000</w:t>
            </w:r>
          </w:p>
        </w:tc>
        <w:tc>
          <w:tcPr>
            <w:tcW w:w="2338" w:type="dxa"/>
            <w:vAlign w:val="center"/>
          </w:tcPr>
          <w:p w14:paraId="3B1732ED" w14:textId="77777777" w:rsidR="00F7121A" w:rsidRPr="00F7121A" w:rsidRDefault="00F7121A" w:rsidP="00F7121A">
            <w:pPr>
              <w:spacing w:after="0" w:line="360" w:lineRule="auto"/>
              <w:jc w:val="center"/>
              <w:rPr>
                <w:rFonts w:ascii="Arial" w:hAnsi="Arial" w:cs="Arial"/>
                <w:sz w:val="20"/>
                <w:szCs w:val="20"/>
                <w:lang w:eastAsia="en-US"/>
              </w:rPr>
            </w:pPr>
            <w:r w:rsidRPr="00F7121A">
              <w:rPr>
                <w:rFonts w:ascii="Arial" w:hAnsi="Arial" w:cs="Arial"/>
                <w:sz w:val="20"/>
                <w:szCs w:val="20"/>
                <w:lang w:eastAsia="en-US"/>
              </w:rPr>
              <w:t>106.000</w:t>
            </w:r>
          </w:p>
        </w:tc>
      </w:tr>
    </w:tbl>
    <w:p w14:paraId="78E53F91" w14:textId="77777777" w:rsidR="00F7121A" w:rsidRPr="00F7121A" w:rsidRDefault="00F7121A" w:rsidP="00F7121A">
      <w:pPr>
        <w:spacing w:line="360" w:lineRule="auto"/>
        <w:contextualSpacing/>
        <w:jc w:val="both"/>
        <w:rPr>
          <w:rFonts w:ascii="Arial" w:eastAsia="Calibri" w:hAnsi="Arial" w:cs="Arial"/>
          <w:b/>
          <w:bCs/>
          <w:i/>
          <w:iCs/>
          <w:sz w:val="20"/>
          <w:szCs w:val="20"/>
          <w:lang w:eastAsia="en-US"/>
        </w:rPr>
      </w:pPr>
    </w:p>
    <w:p w14:paraId="0DC4A945" w14:textId="77777777" w:rsidR="00F7121A" w:rsidRPr="00F7121A" w:rsidRDefault="00F7121A" w:rsidP="00F7121A">
      <w:pPr>
        <w:spacing w:before="100" w:beforeAutospacing="1" w:after="0" w:line="360" w:lineRule="auto"/>
        <w:ind w:left="283"/>
        <w:contextualSpacing/>
        <w:jc w:val="both"/>
        <w:rPr>
          <w:rFonts w:ascii="Arial" w:eastAsia="Calibri" w:hAnsi="Arial" w:cs="Arial"/>
          <w:sz w:val="20"/>
          <w:szCs w:val="20"/>
          <w:lang w:eastAsia="en-US"/>
        </w:rPr>
      </w:pPr>
      <w:r w:rsidRPr="00F7121A">
        <w:rPr>
          <w:rFonts w:ascii="Arial" w:eastAsia="Calibri" w:hAnsi="Arial" w:cs="Arial"/>
          <w:b/>
          <w:bCs/>
          <w:i/>
          <w:iCs/>
          <w:sz w:val="20"/>
          <w:szCs w:val="20"/>
          <w:lang w:eastAsia="en-US"/>
        </w:rPr>
        <w:t xml:space="preserve">Art. 2 – </w:t>
      </w:r>
      <w:r w:rsidRPr="00F7121A">
        <w:rPr>
          <w:rFonts w:ascii="Arial" w:eastAsia="Calibri" w:hAnsi="Arial" w:cs="Arial"/>
          <w:sz w:val="20"/>
          <w:szCs w:val="20"/>
          <w:lang w:eastAsia="en-US"/>
        </w:rPr>
        <w:t>Sont abrogés toutes dispositions antérieures contraires au présent décret.</w:t>
      </w:r>
    </w:p>
    <w:p w14:paraId="4C9E7ED4" w14:textId="77777777" w:rsidR="00F7121A" w:rsidRPr="00F7121A" w:rsidRDefault="00F7121A" w:rsidP="00F7121A">
      <w:pPr>
        <w:spacing w:before="100" w:beforeAutospacing="1" w:after="0" w:line="360" w:lineRule="auto"/>
        <w:ind w:left="283"/>
        <w:jc w:val="both"/>
        <w:rPr>
          <w:rFonts w:ascii="Arial" w:eastAsia="Calibri" w:hAnsi="Arial" w:cs="Arial"/>
          <w:b/>
          <w:bCs/>
          <w:i/>
          <w:iCs/>
          <w:sz w:val="20"/>
          <w:szCs w:val="20"/>
          <w:lang w:eastAsia="en-US"/>
        </w:rPr>
      </w:pPr>
      <w:r w:rsidRPr="00F7121A">
        <w:rPr>
          <w:rFonts w:ascii="Arial" w:eastAsia="Calibri" w:hAnsi="Arial" w:cs="Arial"/>
          <w:b/>
          <w:bCs/>
          <w:i/>
          <w:iCs/>
          <w:sz w:val="20"/>
          <w:szCs w:val="20"/>
          <w:lang w:eastAsia="en-US"/>
        </w:rPr>
        <w:lastRenderedPageBreak/>
        <w:t xml:space="preserve">Art. 3 – </w:t>
      </w:r>
      <w:r w:rsidRPr="00F7121A">
        <w:rPr>
          <w:rFonts w:ascii="Arial" w:eastAsia="Calibri" w:hAnsi="Arial" w:cs="Arial"/>
          <w:sz w:val="20"/>
          <w:szCs w:val="20"/>
          <w:lang w:eastAsia="en-US"/>
        </w:rPr>
        <w:t>Les ministres de la défense nationale et des finances sont chargés chacun en ce qui le concerne, de l’exécution du présent décret qui sera publié au journal officiel de la république Tunisienne.</w:t>
      </w:r>
    </w:p>
    <w:p w14:paraId="71E6F4F2" w14:textId="6131077E" w:rsidR="00E953A2" w:rsidRPr="00F7121A" w:rsidRDefault="00F7121A" w:rsidP="00F7121A">
      <w:pPr>
        <w:spacing w:before="100" w:beforeAutospacing="1" w:after="0" w:line="360" w:lineRule="auto"/>
        <w:ind w:left="283"/>
        <w:jc w:val="both"/>
        <w:rPr>
          <w:rFonts w:ascii="Arial" w:eastAsia="Calibri" w:hAnsi="Arial" w:cs="Arial"/>
          <w:b/>
          <w:bCs/>
          <w:i/>
          <w:iCs/>
          <w:sz w:val="20"/>
          <w:szCs w:val="20"/>
          <w:lang w:eastAsia="en-US"/>
        </w:rPr>
      </w:pPr>
      <w:r w:rsidRPr="00F7121A">
        <w:rPr>
          <w:rFonts w:ascii="Arial" w:eastAsia="Calibri" w:hAnsi="Arial" w:cs="Arial"/>
          <w:b/>
          <w:bCs/>
          <w:sz w:val="20"/>
          <w:szCs w:val="20"/>
          <w:lang w:eastAsia="en-US"/>
        </w:rPr>
        <w:t xml:space="preserve">Tunis, </w:t>
      </w:r>
      <w:r>
        <w:rPr>
          <w:rFonts w:ascii="Arial" w:eastAsia="Calibri" w:hAnsi="Arial" w:cs="Arial"/>
          <w:b/>
          <w:bCs/>
          <w:sz w:val="20"/>
          <w:szCs w:val="20"/>
          <w:lang w:eastAsia="en-US"/>
        </w:rPr>
        <w:t>le 13 décembre 1993.</w:t>
      </w:r>
      <w:bookmarkStart w:id="0" w:name="_GoBack"/>
      <w:bookmarkEnd w:id="0"/>
    </w:p>
    <w:sectPr w:rsidR="00E953A2" w:rsidRPr="00F7121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3763" w14:textId="77777777" w:rsidR="00724237" w:rsidRDefault="00724237" w:rsidP="008F3F2D">
      <w:r>
        <w:separator/>
      </w:r>
    </w:p>
  </w:endnote>
  <w:endnote w:type="continuationSeparator" w:id="0">
    <w:p w14:paraId="375ECFCB" w14:textId="77777777" w:rsidR="00724237" w:rsidRDefault="0072423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7121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7121A">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7121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7121A">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7121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7121A">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7121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7121A">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9E6B" w14:textId="77777777" w:rsidR="00724237" w:rsidRDefault="00724237" w:rsidP="008F3F2D">
      <w:r>
        <w:separator/>
      </w:r>
    </w:p>
  </w:footnote>
  <w:footnote w:type="continuationSeparator" w:id="0">
    <w:p w14:paraId="2F3B9D35" w14:textId="77777777" w:rsidR="00724237" w:rsidRDefault="0072423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092243"/>
    <w:multiLevelType w:val="hybridMultilevel"/>
    <w:tmpl w:val="72721A60"/>
    <w:lvl w:ilvl="0" w:tplc="258018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3"/>
  </w:num>
  <w:num w:numId="4">
    <w:abstractNumId w:val="7"/>
  </w:num>
  <w:num w:numId="5">
    <w:abstractNumId w:val="12"/>
  </w:num>
  <w:num w:numId="6">
    <w:abstractNumId w:val="15"/>
  </w:num>
  <w:num w:numId="7">
    <w:abstractNumId w:val="11"/>
  </w:num>
  <w:num w:numId="8">
    <w:abstractNumId w:val="2"/>
  </w:num>
  <w:num w:numId="9">
    <w:abstractNumId w:val="10"/>
  </w:num>
  <w:num w:numId="10">
    <w:abstractNumId w:val="4"/>
  </w:num>
  <w:num w:numId="11">
    <w:abstractNumId w:val="3"/>
  </w:num>
  <w:num w:numId="12">
    <w:abstractNumId w:val="1"/>
  </w:num>
  <w:num w:numId="13">
    <w:abstractNumId w:val="5"/>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237"/>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1238"/>
    <w:rsid w:val="00C64B86"/>
    <w:rsid w:val="00CC4ADF"/>
    <w:rsid w:val="00D07749"/>
    <w:rsid w:val="00E10A35"/>
    <w:rsid w:val="00E953A2"/>
    <w:rsid w:val="00F57B75"/>
    <w:rsid w:val="00F7121A"/>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F7121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F7121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2012-08-24T08:25:00Z</dcterms:created>
  <dcterms:modified xsi:type="dcterms:W3CDTF">2012-08-24T08:25:00Z</dcterms:modified>
</cp:coreProperties>
</file>