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E6E" w14:textId="77777777" w:rsidR="00E953A2" w:rsidRDefault="00E953A2" w:rsidP="00FC0DFA">
      <w:pPr>
        <w:spacing w:before="100" w:beforeAutospacing="1"/>
      </w:pPr>
    </w:p>
    <w:p w14:paraId="54F44880" w14:textId="0A06105F" w:rsidR="00674326" w:rsidRPr="00674326" w:rsidRDefault="00674326" w:rsidP="00FC0DFA">
      <w:pPr>
        <w:spacing w:before="100" w:beforeAutospacing="1" w:after="0"/>
        <w:ind w:left="283"/>
        <w:jc w:val="both"/>
        <w:rPr>
          <w:rFonts w:ascii="Arial" w:eastAsia="Calibri" w:hAnsi="Arial" w:cs="Arial"/>
          <w:b/>
          <w:color w:val="000000"/>
          <w:sz w:val="24"/>
          <w:szCs w:val="24"/>
          <w:shd w:val="clear" w:color="auto" w:fill="FFFFFF"/>
          <w:lang w:eastAsia="en-US"/>
        </w:rPr>
      </w:pPr>
      <w:r>
        <w:rPr>
          <w:rFonts w:ascii="Arial" w:eastAsia="Calibri" w:hAnsi="Arial" w:cs="Arial"/>
          <w:b/>
          <w:color w:val="000000"/>
          <w:sz w:val="24"/>
          <w:szCs w:val="24"/>
          <w:shd w:val="clear" w:color="auto" w:fill="FFFFFF"/>
          <w:lang w:eastAsia="en-US"/>
        </w:rPr>
        <w:t xml:space="preserve">Décret n° </w:t>
      </w:r>
      <w:r w:rsidR="009E4ACF">
        <w:rPr>
          <w:rFonts w:ascii="Arial" w:eastAsia="Calibri" w:hAnsi="Arial" w:cs="Arial"/>
          <w:b/>
          <w:color w:val="000000"/>
          <w:sz w:val="24"/>
          <w:szCs w:val="24"/>
          <w:shd w:val="clear" w:color="auto" w:fill="FFFFFF"/>
          <w:lang w:eastAsia="en-US"/>
        </w:rPr>
        <w:t>92</w:t>
      </w:r>
      <w:r>
        <w:rPr>
          <w:rFonts w:ascii="Arial" w:eastAsia="Calibri" w:hAnsi="Arial" w:cs="Arial"/>
          <w:b/>
          <w:color w:val="000000"/>
          <w:sz w:val="24"/>
          <w:szCs w:val="24"/>
          <w:shd w:val="clear" w:color="auto" w:fill="FFFFFF"/>
          <w:lang w:eastAsia="en-US"/>
        </w:rPr>
        <w:t>-</w:t>
      </w:r>
      <w:r w:rsidR="009E4ACF">
        <w:rPr>
          <w:rFonts w:ascii="Arial" w:eastAsia="Calibri" w:hAnsi="Arial" w:cs="Arial"/>
          <w:b/>
          <w:color w:val="000000"/>
          <w:sz w:val="24"/>
          <w:szCs w:val="24"/>
          <w:shd w:val="clear" w:color="auto" w:fill="FFFFFF"/>
          <w:lang w:eastAsia="en-US"/>
        </w:rPr>
        <w:t>1331</w:t>
      </w:r>
      <w:r>
        <w:rPr>
          <w:rFonts w:ascii="Arial" w:eastAsia="Calibri" w:hAnsi="Arial" w:cs="Arial"/>
          <w:b/>
          <w:color w:val="000000"/>
          <w:sz w:val="24"/>
          <w:szCs w:val="24"/>
          <w:shd w:val="clear" w:color="auto" w:fill="FFFFFF"/>
          <w:lang w:eastAsia="en-US"/>
        </w:rPr>
        <w:t xml:space="preserve"> du </w:t>
      </w:r>
      <w:r w:rsidR="009E4ACF">
        <w:rPr>
          <w:rFonts w:ascii="Arial" w:eastAsia="Calibri" w:hAnsi="Arial" w:cs="Arial"/>
          <w:b/>
          <w:color w:val="000000"/>
          <w:sz w:val="24"/>
          <w:szCs w:val="24"/>
          <w:shd w:val="clear" w:color="auto" w:fill="FFFFFF"/>
          <w:lang w:eastAsia="en-US"/>
        </w:rPr>
        <w:t>20 juillet 1992</w:t>
      </w:r>
      <w:r w:rsidRPr="00674326">
        <w:rPr>
          <w:rFonts w:ascii="Arial" w:eastAsia="Calibri" w:hAnsi="Arial" w:cs="Arial"/>
          <w:b/>
          <w:color w:val="000000"/>
          <w:sz w:val="24"/>
          <w:szCs w:val="24"/>
          <w:shd w:val="clear" w:color="auto" w:fill="FFFFFF"/>
          <w:lang w:eastAsia="en-US"/>
        </w:rPr>
        <w:t xml:space="preserve">, </w:t>
      </w:r>
      <w:r w:rsidR="009E4ACF">
        <w:rPr>
          <w:rFonts w:ascii="Arial" w:eastAsia="Calibri" w:hAnsi="Arial" w:cs="Arial"/>
          <w:b/>
          <w:color w:val="000000"/>
          <w:sz w:val="24"/>
          <w:szCs w:val="24"/>
          <w:shd w:val="clear" w:color="auto" w:fill="FFFFFF"/>
          <w:lang w:eastAsia="en-US"/>
        </w:rPr>
        <w:t>fixant l’organisation et les attributions des directions régionales du</w:t>
      </w:r>
      <w:r w:rsidRPr="00674326">
        <w:rPr>
          <w:rFonts w:ascii="Arial" w:eastAsia="Calibri" w:hAnsi="Arial" w:cs="Arial"/>
          <w:b/>
          <w:color w:val="000000"/>
          <w:sz w:val="24"/>
          <w:szCs w:val="24"/>
          <w:shd w:val="clear" w:color="auto" w:fill="FFFFFF"/>
          <w:lang w:eastAsia="en-US"/>
        </w:rPr>
        <w:t xml:space="preserve"> ministère de la </w:t>
      </w:r>
      <w:r w:rsidR="009E4ACF">
        <w:rPr>
          <w:rFonts w:ascii="Arial" w:eastAsia="Calibri" w:hAnsi="Arial" w:cs="Arial"/>
          <w:b/>
          <w:color w:val="000000"/>
          <w:sz w:val="24"/>
          <w:szCs w:val="24"/>
          <w:shd w:val="clear" w:color="auto" w:fill="FFFFFF"/>
          <w:lang w:eastAsia="en-US"/>
        </w:rPr>
        <w:t>J</w:t>
      </w:r>
      <w:r w:rsidR="00504BB0">
        <w:rPr>
          <w:rFonts w:ascii="Arial" w:eastAsia="Calibri" w:hAnsi="Arial" w:cs="Arial"/>
          <w:b/>
          <w:color w:val="000000"/>
          <w:sz w:val="24"/>
          <w:szCs w:val="24"/>
          <w:shd w:val="clear" w:color="auto" w:fill="FFFFFF"/>
          <w:lang w:eastAsia="en-US"/>
        </w:rPr>
        <w:t>ustice</w:t>
      </w:r>
    </w:p>
    <w:p w14:paraId="3A8E2BD8" w14:textId="77777777"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Le Président de la République,</w:t>
      </w:r>
      <w:r w:rsidRPr="00FC0DFA">
        <w:rPr>
          <w:rFonts w:ascii="Arial" w:eastAsia="Calibri" w:hAnsi="Arial" w:cs="Arial"/>
          <w:sz w:val="20"/>
          <w:szCs w:val="20"/>
          <w:lang w:eastAsia="en-US"/>
        </w:rPr>
        <w:t> </w:t>
      </w:r>
    </w:p>
    <w:p w14:paraId="7B34D309" w14:textId="7D38E7DA"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 xml:space="preserve">Sur proposition du ministre de la </w:t>
      </w:r>
      <w:r w:rsidR="009E4ACF" w:rsidRPr="00FC0DFA">
        <w:rPr>
          <w:rFonts w:ascii="Arial" w:eastAsia="Calibri" w:hAnsi="Arial" w:cs="Arial"/>
          <w:bCs/>
          <w:color w:val="000000"/>
          <w:sz w:val="20"/>
          <w:szCs w:val="20"/>
          <w:shd w:val="clear" w:color="auto" w:fill="FFFFFF"/>
          <w:lang w:eastAsia="en-US"/>
        </w:rPr>
        <w:t>J</w:t>
      </w:r>
      <w:r w:rsidRPr="00FC0DFA">
        <w:rPr>
          <w:rFonts w:ascii="Arial" w:eastAsia="Calibri" w:hAnsi="Arial" w:cs="Arial"/>
          <w:bCs/>
          <w:color w:val="000000"/>
          <w:sz w:val="20"/>
          <w:szCs w:val="20"/>
          <w:shd w:val="clear" w:color="auto" w:fill="FFFFFF"/>
          <w:lang w:eastAsia="en-US"/>
        </w:rPr>
        <w:t>ustice</w:t>
      </w:r>
      <w:r w:rsidR="009E4ACF" w:rsidRPr="00FC0DFA">
        <w:rPr>
          <w:rFonts w:ascii="Arial" w:eastAsia="Calibri" w:hAnsi="Arial" w:cs="Arial"/>
          <w:bCs/>
          <w:color w:val="000000"/>
          <w:sz w:val="20"/>
          <w:szCs w:val="20"/>
          <w:shd w:val="clear" w:color="auto" w:fill="FFFFFF"/>
          <w:lang w:eastAsia="en-US"/>
        </w:rPr>
        <w:t>,</w:t>
      </w:r>
      <w:r w:rsidRPr="00FC0DFA">
        <w:rPr>
          <w:rFonts w:ascii="Arial" w:eastAsia="Calibri" w:hAnsi="Arial" w:cs="Arial"/>
          <w:sz w:val="20"/>
          <w:szCs w:val="20"/>
          <w:lang w:eastAsia="en-US"/>
        </w:rPr>
        <w:t> </w:t>
      </w:r>
    </w:p>
    <w:p w14:paraId="0B239341" w14:textId="4C421D91" w:rsidR="009E4ACF" w:rsidRPr="00FC0DFA" w:rsidRDefault="009E4ACF"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sz w:val="20"/>
          <w:szCs w:val="20"/>
          <w:lang w:eastAsia="en-US"/>
        </w:rPr>
        <w:t>Vu la loi n° 67-29 du 14 juillet 1967, relative à l'organisation judiciaire, au Conseil supérieur de la magistrature et au statut de la magistrature, ensemble des textes qui l’ont modifiée ou complétée,</w:t>
      </w:r>
    </w:p>
    <w:p w14:paraId="3490EABE" w14:textId="18305105"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 xml:space="preserve">Vu la loi n° 83-112 du 12 décembre 1983, portant statut général des personnels de l'Etat, des collectivités publiques locales et des établissements publics à caractère administratif, </w:t>
      </w:r>
    </w:p>
    <w:p w14:paraId="748D2C74" w14:textId="72680FF5"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Vu le décret n° 74-1062 du 28 novembre 1974, fixant les attributions du ministère de la justice,</w:t>
      </w:r>
      <w:r w:rsidRPr="00FC0DFA">
        <w:rPr>
          <w:rFonts w:ascii="Arial" w:eastAsia="Calibri" w:hAnsi="Arial" w:cs="Arial"/>
          <w:sz w:val="20"/>
          <w:szCs w:val="20"/>
          <w:lang w:eastAsia="en-US"/>
        </w:rPr>
        <w:t> </w:t>
      </w:r>
    </w:p>
    <w:p w14:paraId="1D391740" w14:textId="2C901124" w:rsidR="009E4ACF" w:rsidRPr="00FC0DFA" w:rsidRDefault="009E4ACF"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sz w:val="20"/>
          <w:szCs w:val="20"/>
          <w:lang w:eastAsia="en-US"/>
        </w:rPr>
        <w:t>Vu le décret n° 88-188 du 11 février 1988, réglementant les conditions d'attribution et de retrait des emplois fonctionnels de secrétaire général de ministère, de directeur général d'administration centrale, de direction d'administration centrale, de sous-directeur d'administration centrale et de chef de service d'administration centrale,</w:t>
      </w:r>
    </w:p>
    <w:p w14:paraId="12666412" w14:textId="778E1ACF"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 xml:space="preserve">Vu le décret n° 92-1330 du 20 juillet 1992, portant organisation du ministère de la </w:t>
      </w:r>
      <w:r w:rsidR="009E4ACF" w:rsidRPr="00FC0DFA">
        <w:rPr>
          <w:rFonts w:ascii="Arial" w:eastAsia="Calibri" w:hAnsi="Arial" w:cs="Arial"/>
          <w:bCs/>
          <w:color w:val="000000"/>
          <w:sz w:val="20"/>
          <w:szCs w:val="20"/>
          <w:shd w:val="clear" w:color="auto" w:fill="FFFFFF"/>
          <w:lang w:eastAsia="en-US"/>
        </w:rPr>
        <w:t>J</w:t>
      </w:r>
      <w:r w:rsidRPr="00FC0DFA">
        <w:rPr>
          <w:rFonts w:ascii="Arial" w:eastAsia="Calibri" w:hAnsi="Arial" w:cs="Arial"/>
          <w:bCs/>
          <w:color w:val="000000"/>
          <w:sz w:val="20"/>
          <w:szCs w:val="20"/>
          <w:shd w:val="clear" w:color="auto" w:fill="FFFFFF"/>
          <w:lang w:eastAsia="en-US"/>
        </w:rPr>
        <w:t>ustice,</w:t>
      </w:r>
      <w:r w:rsidRPr="00FC0DFA">
        <w:rPr>
          <w:rFonts w:ascii="Arial" w:eastAsia="Calibri" w:hAnsi="Arial" w:cs="Arial"/>
          <w:sz w:val="20"/>
          <w:szCs w:val="20"/>
          <w:lang w:eastAsia="en-US"/>
        </w:rPr>
        <w:t> </w:t>
      </w:r>
    </w:p>
    <w:p w14:paraId="0D2FF030" w14:textId="4FA4974F"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 xml:space="preserve">Vu l'avis du ministre des </w:t>
      </w:r>
      <w:r w:rsidR="009E4ACF" w:rsidRPr="00FC0DFA">
        <w:rPr>
          <w:rFonts w:ascii="Arial" w:eastAsia="Calibri" w:hAnsi="Arial" w:cs="Arial"/>
          <w:bCs/>
          <w:color w:val="000000"/>
          <w:sz w:val="20"/>
          <w:szCs w:val="20"/>
          <w:shd w:val="clear" w:color="auto" w:fill="FFFFFF"/>
          <w:lang w:eastAsia="en-US"/>
        </w:rPr>
        <w:t>F</w:t>
      </w:r>
      <w:r w:rsidRPr="00FC0DFA">
        <w:rPr>
          <w:rFonts w:ascii="Arial" w:eastAsia="Calibri" w:hAnsi="Arial" w:cs="Arial"/>
          <w:bCs/>
          <w:color w:val="000000"/>
          <w:sz w:val="20"/>
          <w:szCs w:val="20"/>
          <w:shd w:val="clear" w:color="auto" w:fill="FFFFFF"/>
          <w:lang w:eastAsia="en-US"/>
        </w:rPr>
        <w:t>inances,</w:t>
      </w:r>
      <w:r w:rsidRPr="00FC0DFA">
        <w:rPr>
          <w:rFonts w:ascii="Arial" w:eastAsia="Calibri" w:hAnsi="Arial" w:cs="Arial"/>
          <w:sz w:val="20"/>
          <w:szCs w:val="20"/>
          <w:lang w:eastAsia="en-US"/>
        </w:rPr>
        <w:t> </w:t>
      </w:r>
    </w:p>
    <w:p w14:paraId="031E21A8" w14:textId="77777777"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Vu l'avis du tribunal administratif.</w:t>
      </w:r>
      <w:r w:rsidRPr="00FC0DFA">
        <w:rPr>
          <w:rFonts w:ascii="Arial" w:eastAsia="Calibri" w:hAnsi="Arial" w:cs="Arial"/>
          <w:sz w:val="20"/>
          <w:szCs w:val="20"/>
          <w:lang w:eastAsia="en-US"/>
        </w:rPr>
        <w:t> </w:t>
      </w:r>
    </w:p>
    <w:p w14:paraId="35FDD0B2" w14:textId="77777777" w:rsidR="00674326" w:rsidRPr="00FC0DFA" w:rsidRDefault="00674326" w:rsidP="00FC0DFA">
      <w:pPr>
        <w:spacing w:before="100" w:beforeAutospacing="1" w:after="0" w:line="240" w:lineRule="auto"/>
        <w:ind w:left="283"/>
        <w:jc w:val="both"/>
        <w:rPr>
          <w:rFonts w:ascii="Arial" w:eastAsia="Calibri" w:hAnsi="Arial" w:cs="Arial"/>
          <w:sz w:val="20"/>
          <w:szCs w:val="20"/>
          <w:lang w:eastAsia="en-US"/>
        </w:rPr>
      </w:pPr>
      <w:r w:rsidRPr="00FC0DFA">
        <w:rPr>
          <w:rFonts w:ascii="Arial" w:eastAsia="Calibri" w:hAnsi="Arial" w:cs="Arial"/>
          <w:bCs/>
          <w:color w:val="000000"/>
          <w:sz w:val="20"/>
          <w:szCs w:val="20"/>
          <w:shd w:val="clear" w:color="auto" w:fill="FFFFFF"/>
          <w:lang w:eastAsia="en-US"/>
        </w:rPr>
        <w:t>Décrète :</w:t>
      </w:r>
      <w:r w:rsidRPr="00FC0DFA">
        <w:rPr>
          <w:rFonts w:ascii="Arial" w:eastAsia="Calibri" w:hAnsi="Arial" w:cs="Arial"/>
          <w:sz w:val="20"/>
          <w:szCs w:val="20"/>
          <w:lang w:eastAsia="en-US"/>
        </w:rPr>
        <w:t> </w:t>
      </w:r>
    </w:p>
    <w:p w14:paraId="653C0C03" w14:textId="2436E9E9" w:rsidR="00674326" w:rsidRPr="00FC0DFA" w:rsidRDefault="00674326" w:rsidP="00FC0DFA">
      <w:pPr>
        <w:spacing w:before="100" w:beforeAutospacing="1" w:after="0" w:line="240" w:lineRule="auto"/>
        <w:ind w:left="283"/>
        <w:jc w:val="center"/>
        <w:rPr>
          <w:rFonts w:ascii="Arial" w:eastAsia="Calibri" w:hAnsi="Arial" w:cs="Arial"/>
          <w:b/>
          <w:color w:val="000000"/>
          <w:sz w:val="20"/>
          <w:szCs w:val="20"/>
          <w:shd w:val="clear" w:color="auto" w:fill="FFFFFF"/>
          <w:lang w:eastAsia="en-US"/>
        </w:rPr>
      </w:pPr>
      <w:r w:rsidRPr="00FC0DFA">
        <w:rPr>
          <w:rFonts w:ascii="Arial" w:eastAsia="Calibri" w:hAnsi="Arial" w:cs="Arial"/>
          <w:b/>
          <w:color w:val="000000"/>
          <w:sz w:val="20"/>
          <w:szCs w:val="20"/>
          <w:shd w:val="clear" w:color="auto" w:fill="FFFFFF"/>
          <w:lang w:eastAsia="en-US"/>
        </w:rPr>
        <w:t>Dispositions générales</w:t>
      </w:r>
    </w:p>
    <w:p w14:paraId="28D04B28" w14:textId="1FEF9164" w:rsidR="009E4ACF" w:rsidRPr="00FC0DFA" w:rsidRDefault="00674326" w:rsidP="00FC0DFA">
      <w:pPr>
        <w:spacing w:before="100" w:beforeAutospacing="1" w:after="0" w:line="240" w:lineRule="auto"/>
        <w:ind w:left="283"/>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Article premier – </w:t>
      </w:r>
      <w:r w:rsidR="009E4ACF" w:rsidRPr="00FC0DFA">
        <w:rPr>
          <w:rFonts w:ascii="Arial" w:eastAsia="Calibri" w:hAnsi="Arial" w:cs="Arial"/>
          <w:bCs/>
          <w:color w:val="000000"/>
          <w:sz w:val="20"/>
          <w:szCs w:val="20"/>
          <w:shd w:val="clear" w:color="auto" w:fill="FFFFFF"/>
          <w:lang w:eastAsia="en-US"/>
        </w:rPr>
        <w:t>Les directions régionales du ministère de la Justice sont constituées d’une direction régionale au siège de chaque Cour d’Appel, dirigée par un directeur régional et dont la compétence territoriale couvre la circonscription de la Cour d’Appel.</w:t>
      </w:r>
    </w:p>
    <w:p w14:paraId="02E78B49" w14:textId="57E1C32E" w:rsidR="00674326" w:rsidRPr="00FC0DFA" w:rsidRDefault="00674326" w:rsidP="00FC0DFA">
      <w:pPr>
        <w:spacing w:before="100" w:beforeAutospacing="1" w:after="0" w:line="240" w:lineRule="auto"/>
        <w:ind w:left="283"/>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 2 – </w:t>
      </w:r>
      <w:r w:rsidR="009E4ACF" w:rsidRPr="00FC0DFA">
        <w:rPr>
          <w:rFonts w:ascii="Arial" w:eastAsia="Calibri" w:hAnsi="Arial" w:cs="Arial"/>
          <w:bCs/>
          <w:color w:val="000000"/>
          <w:sz w:val="20"/>
          <w:szCs w:val="20"/>
          <w:shd w:val="clear" w:color="auto" w:fill="FFFFFF"/>
          <w:lang w:eastAsia="en-US"/>
        </w:rPr>
        <w:t>Le directeur régional est chargé, sous la tutelle du Premier Pr</w:t>
      </w:r>
      <w:r w:rsidR="001E18F2" w:rsidRPr="00FC0DFA">
        <w:rPr>
          <w:rFonts w:ascii="Arial" w:eastAsia="Calibri" w:hAnsi="Arial" w:cs="Arial"/>
          <w:bCs/>
          <w:color w:val="000000"/>
          <w:sz w:val="20"/>
          <w:szCs w:val="20"/>
          <w:shd w:val="clear" w:color="auto" w:fill="FFFFFF"/>
          <w:lang w:eastAsia="en-US"/>
        </w:rPr>
        <w:t>é</w:t>
      </w:r>
      <w:r w:rsidR="009E4ACF" w:rsidRPr="00FC0DFA">
        <w:rPr>
          <w:rFonts w:ascii="Arial" w:eastAsia="Calibri" w:hAnsi="Arial" w:cs="Arial"/>
          <w:bCs/>
          <w:color w:val="000000"/>
          <w:sz w:val="20"/>
          <w:szCs w:val="20"/>
          <w:shd w:val="clear" w:color="auto" w:fill="FFFFFF"/>
          <w:lang w:eastAsia="en-US"/>
        </w:rPr>
        <w:t xml:space="preserve">sident et du Procureur Général de </w:t>
      </w:r>
      <w:r w:rsidR="001E18F2" w:rsidRPr="00FC0DFA">
        <w:rPr>
          <w:rFonts w:ascii="Arial" w:eastAsia="Calibri" w:hAnsi="Arial" w:cs="Arial"/>
          <w:bCs/>
          <w:color w:val="000000"/>
          <w:sz w:val="20"/>
          <w:szCs w:val="20"/>
          <w:shd w:val="clear" w:color="auto" w:fill="FFFFFF"/>
          <w:lang w:eastAsia="en-US"/>
        </w:rPr>
        <w:t>la cour d’appel, de la coordination des greffes des juridictions, de la gestion des personnels, de l’entretien des juridictions et de leur équipement et ce conformément aux dispositions du présent décret.</w:t>
      </w:r>
    </w:p>
    <w:p w14:paraId="6F60C1C9" w14:textId="4D8C154A" w:rsidR="001E18F2" w:rsidRPr="00FC0DFA" w:rsidRDefault="001E18F2" w:rsidP="00FC0DFA">
      <w:pPr>
        <w:spacing w:before="100" w:beforeAutospacing="1" w:after="0" w:line="240" w:lineRule="auto"/>
        <w:ind w:left="283"/>
        <w:jc w:val="center"/>
        <w:rPr>
          <w:rFonts w:ascii="Arial" w:eastAsia="Calibri" w:hAnsi="Arial" w:cs="Arial"/>
          <w:b/>
          <w:color w:val="000000"/>
          <w:sz w:val="20"/>
          <w:szCs w:val="20"/>
          <w:shd w:val="clear" w:color="auto" w:fill="FFFFFF"/>
          <w:lang w:eastAsia="en-US"/>
        </w:rPr>
      </w:pPr>
      <w:r w:rsidRPr="00FC0DFA">
        <w:rPr>
          <w:rFonts w:ascii="Arial" w:eastAsia="Calibri" w:hAnsi="Arial" w:cs="Arial"/>
          <w:b/>
          <w:color w:val="000000"/>
          <w:sz w:val="20"/>
          <w:szCs w:val="20"/>
          <w:shd w:val="clear" w:color="auto" w:fill="FFFFFF"/>
          <w:lang w:eastAsia="en-US"/>
        </w:rPr>
        <w:t>Chapitre I – Attributions</w:t>
      </w:r>
    </w:p>
    <w:p w14:paraId="12EC5DDF" w14:textId="78B2D4AC" w:rsidR="00674326" w:rsidRPr="00FC0DFA" w:rsidRDefault="00674326" w:rsidP="00FC0DFA">
      <w:pPr>
        <w:spacing w:before="100" w:beforeAutospacing="1" w:after="0" w:line="240" w:lineRule="auto"/>
        <w:ind w:left="283"/>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 3 – </w:t>
      </w:r>
      <w:r w:rsidR="001E18F2" w:rsidRPr="00FC0DFA">
        <w:rPr>
          <w:rFonts w:ascii="Arial" w:eastAsia="Calibri" w:hAnsi="Arial" w:cs="Arial"/>
          <w:bCs/>
          <w:color w:val="000000"/>
          <w:sz w:val="20"/>
          <w:szCs w:val="20"/>
          <w:shd w:val="clear" w:color="auto" w:fill="FFFFFF"/>
          <w:lang w:eastAsia="en-US"/>
        </w:rPr>
        <w:t>Le directeur régional assure en ce qui concerne la coordination des greffes des juridictions ce qui suit :</w:t>
      </w:r>
    </w:p>
    <w:p w14:paraId="19294092" w14:textId="77777777" w:rsid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Veiller à la modernisation de travail des greffes des juridictions et à la standardisation et à la simplification des procédures.</w:t>
      </w:r>
    </w:p>
    <w:p w14:paraId="1CE202D9" w14:textId="4A20ADC0" w:rsidR="001E18F2"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Suivre les correspondances administratives de toute nature.</w:t>
      </w:r>
    </w:p>
    <w:p w14:paraId="62B67597" w14:textId="77777777" w:rsidR="00FC0DFA" w:rsidRPr="00FC0DFA" w:rsidRDefault="00FC0DFA" w:rsidP="00FC0DFA">
      <w:p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p>
    <w:p w14:paraId="56CFE9C7" w14:textId="07619AD7" w:rsidR="001E18F2" w:rsidRPr="00FC0DFA" w:rsidRDefault="00674326" w:rsidP="00FC0DFA">
      <w:pPr>
        <w:spacing w:before="100" w:beforeAutospacing="1" w:after="0" w:line="240" w:lineRule="auto"/>
        <w:ind w:left="283"/>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 4 – </w:t>
      </w:r>
      <w:r w:rsidR="001E18F2" w:rsidRPr="00FC0DFA">
        <w:rPr>
          <w:rFonts w:ascii="Arial" w:eastAsia="Calibri" w:hAnsi="Arial" w:cs="Arial"/>
          <w:bCs/>
          <w:color w:val="000000"/>
          <w:sz w:val="20"/>
          <w:szCs w:val="20"/>
          <w:shd w:val="clear" w:color="auto" w:fill="FFFFFF"/>
          <w:lang w:eastAsia="en-US"/>
        </w:rPr>
        <w:t>Le directeur régional assure en ce qui concerne la gestion des personnels administratif, technique et ouvrier ce qui suit :</w:t>
      </w:r>
    </w:p>
    <w:p w14:paraId="467DE599" w14:textId="6E018448"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Contrôler la présence des agents et des congés de maladie,</w:t>
      </w:r>
    </w:p>
    <w:p w14:paraId="4B3CA81B" w14:textId="388055DF"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Muter les agents d’une juridiction à une autre, à l’exception des agents nantis d’emplois fonctionnels.</w:t>
      </w:r>
    </w:p>
    <w:p w14:paraId="1D4A8E4F" w14:textId="77777777" w:rsidR="001E18F2" w:rsidRPr="00FC0DFA" w:rsidRDefault="00674326" w:rsidP="00FC0DFA">
      <w:pPr>
        <w:spacing w:before="100" w:beforeAutospacing="1" w:after="0" w:line="240" w:lineRule="auto"/>
        <w:ind w:left="283"/>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 5 – </w:t>
      </w:r>
      <w:r w:rsidR="001E18F2" w:rsidRPr="00FC0DFA">
        <w:rPr>
          <w:rFonts w:ascii="Arial" w:eastAsia="Calibri" w:hAnsi="Arial" w:cs="Arial"/>
          <w:bCs/>
          <w:color w:val="000000"/>
          <w:sz w:val="20"/>
          <w:szCs w:val="20"/>
          <w:shd w:val="clear" w:color="auto" w:fill="FFFFFF"/>
          <w:lang w:eastAsia="en-US"/>
        </w:rPr>
        <w:t>Le directeur régional assure en ce qui concerne les bâtiments et l ce qui suit :</w:t>
      </w:r>
    </w:p>
    <w:p w14:paraId="5DF74200" w14:textId="77777777"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lastRenderedPageBreak/>
        <w:t>Veiller à l’entretien, la réparation et l’équipement des juridictions.</w:t>
      </w:r>
    </w:p>
    <w:p w14:paraId="1A7677EE" w14:textId="77777777"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Suivre la réalisation des projets relevant de sa compétence.</w:t>
      </w:r>
    </w:p>
    <w:p w14:paraId="034EBC72" w14:textId="4B01E865"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Représenter le Ministère auprès des services régionaux chargés de l’équipement et de l’habitat.</w:t>
      </w:r>
    </w:p>
    <w:p w14:paraId="246487AD" w14:textId="61A08B1A" w:rsidR="001E18F2" w:rsidRPr="00FC0DFA" w:rsidRDefault="001E18F2" w:rsidP="00FC0DFA">
      <w:pPr>
        <w:spacing w:before="100" w:beforeAutospacing="1" w:after="0" w:line="240" w:lineRule="auto"/>
        <w:ind w:left="283"/>
        <w:jc w:val="center"/>
        <w:rPr>
          <w:rFonts w:ascii="Arial" w:eastAsia="Calibri" w:hAnsi="Arial" w:cs="Arial"/>
          <w:b/>
          <w:color w:val="000000"/>
          <w:sz w:val="20"/>
          <w:szCs w:val="20"/>
          <w:shd w:val="clear" w:color="auto" w:fill="FFFFFF"/>
          <w:lang w:eastAsia="en-US"/>
        </w:rPr>
      </w:pPr>
      <w:r w:rsidRPr="00FC0DFA">
        <w:rPr>
          <w:rFonts w:ascii="Arial" w:eastAsia="Calibri" w:hAnsi="Arial" w:cs="Arial"/>
          <w:b/>
          <w:color w:val="000000"/>
          <w:sz w:val="20"/>
          <w:szCs w:val="20"/>
          <w:shd w:val="clear" w:color="auto" w:fill="FFFFFF"/>
          <w:lang w:eastAsia="en-US"/>
        </w:rPr>
        <w:t>Chapitre II – Organisation</w:t>
      </w:r>
    </w:p>
    <w:p w14:paraId="09929561" w14:textId="037A9868" w:rsidR="00674326" w:rsidRPr="00FC0DFA" w:rsidRDefault="00674326" w:rsidP="00FC0DFA">
      <w:pPr>
        <w:spacing w:before="100" w:beforeAutospacing="1" w:after="0" w:line="240" w:lineRule="auto"/>
        <w:ind w:left="283"/>
        <w:jc w:val="both"/>
        <w:rPr>
          <w:rFonts w:ascii="Arial" w:eastAsia="Calibri" w:hAnsi="Arial" w:cs="Arial"/>
          <w:bCs/>
          <w:sz w:val="20"/>
          <w:szCs w:val="20"/>
          <w:lang w:eastAsia="en-US"/>
        </w:rPr>
      </w:pPr>
      <w:r w:rsidRPr="00FC0DFA">
        <w:rPr>
          <w:rFonts w:ascii="Arial" w:eastAsia="Calibri" w:hAnsi="Arial" w:cs="Arial"/>
          <w:b/>
          <w:i/>
          <w:iCs/>
          <w:color w:val="000000"/>
          <w:sz w:val="20"/>
          <w:szCs w:val="20"/>
          <w:shd w:val="clear" w:color="auto" w:fill="FFFFFF"/>
          <w:lang w:eastAsia="en-US"/>
        </w:rPr>
        <w:t xml:space="preserve">Art. 6 – </w:t>
      </w:r>
      <w:r w:rsidR="001E18F2" w:rsidRPr="00FC0DFA">
        <w:rPr>
          <w:rFonts w:ascii="Arial" w:eastAsia="Calibri" w:hAnsi="Arial" w:cs="Arial"/>
          <w:bCs/>
          <w:color w:val="000000"/>
          <w:sz w:val="20"/>
          <w:szCs w:val="20"/>
          <w:shd w:val="clear" w:color="auto" w:fill="FFFFFF"/>
          <w:lang w:eastAsia="en-US"/>
        </w:rPr>
        <w:t>Le directeur régional peut être nantis de l’emploi de sous-directeur ou de directeur d’administration centrale conformément à la réglementation en vigueur.</w:t>
      </w:r>
    </w:p>
    <w:p w14:paraId="10E9365A" w14:textId="06C7ABEC" w:rsidR="00674326" w:rsidRPr="00FC0DFA" w:rsidRDefault="00674326" w:rsidP="00FC0DFA">
      <w:pPr>
        <w:spacing w:before="100" w:beforeAutospacing="1" w:after="0" w:line="240" w:lineRule="auto"/>
        <w:ind w:left="283"/>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 7 – </w:t>
      </w:r>
      <w:r w:rsidR="001E18F2" w:rsidRPr="00FC0DFA">
        <w:rPr>
          <w:rFonts w:ascii="Arial" w:eastAsia="Calibri" w:hAnsi="Arial" w:cs="Arial"/>
          <w:bCs/>
          <w:color w:val="000000"/>
          <w:sz w:val="20"/>
          <w:szCs w:val="20"/>
          <w:shd w:val="clear" w:color="auto" w:fill="FFFFFF"/>
          <w:lang w:eastAsia="en-US"/>
        </w:rPr>
        <w:t>La direction régionale du ministère de la Justice comprend deux services :</w:t>
      </w:r>
    </w:p>
    <w:p w14:paraId="351B34B5" w14:textId="3773CAED"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Le service des affaires administratives et financières</w:t>
      </w:r>
    </w:p>
    <w:p w14:paraId="4076FAD2" w14:textId="07444542" w:rsidR="001E18F2" w:rsidRPr="00FC0DFA" w:rsidRDefault="001E18F2" w:rsidP="00FC0DFA">
      <w:pPr>
        <w:numPr>
          <w:ilvl w:val="0"/>
          <w:numId w:val="18"/>
        </w:numPr>
        <w:spacing w:before="100" w:beforeAutospacing="1" w:after="0" w:line="240" w:lineRule="auto"/>
        <w:ind w:left="927"/>
        <w:contextualSpacing/>
        <w:jc w:val="both"/>
        <w:rPr>
          <w:rFonts w:ascii="Arial" w:eastAsia="Calibri" w:hAnsi="Arial" w:cs="Arial"/>
          <w:bCs/>
          <w:color w:val="000000"/>
          <w:sz w:val="20"/>
          <w:szCs w:val="20"/>
          <w:shd w:val="clear" w:color="auto" w:fill="FFFFFF"/>
          <w:lang w:eastAsia="en-US"/>
        </w:rPr>
      </w:pPr>
      <w:r w:rsidRPr="00FC0DFA">
        <w:rPr>
          <w:rFonts w:ascii="Arial" w:eastAsia="Calibri" w:hAnsi="Arial" w:cs="Arial"/>
          <w:bCs/>
          <w:color w:val="000000"/>
          <w:sz w:val="20"/>
          <w:szCs w:val="20"/>
          <w:shd w:val="clear" w:color="auto" w:fill="FFFFFF"/>
          <w:lang w:eastAsia="en-US"/>
        </w:rPr>
        <w:t>Le service des bâtiments et des équipements.</w:t>
      </w:r>
    </w:p>
    <w:p w14:paraId="09AB9922" w14:textId="3489ECDC" w:rsidR="00674326" w:rsidRPr="00FC0DFA" w:rsidRDefault="00674326" w:rsidP="00FC0DFA">
      <w:pPr>
        <w:spacing w:before="100" w:beforeAutospacing="1" w:after="0" w:line="240" w:lineRule="auto"/>
        <w:ind w:left="283"/>
        <w:jc w:val="both"/>
        <w:rPr>
          <w:rFonts w:ascii="Arial" w:eastAsia="Calibri" w:hAnsi="Arial" w:cs="Arial"/>
          <w:bCs/>
          <w:color w:val="000000"/>
          <w:sz w:val="20"/>
          <w:szCs w:val="20"/>
          <w:shd w:val="clear" w:color="auto" w:fill="FFFFFF"/>
          <w:lang w:eastAsia="en-US"/>
        </w:rPr>
      </w:pPr>
      <w:r w:rsidRPr="00FC0DFA">
        <w:rPr>
          <w:rFonts w:ascii="Arial" w:eastAsia="Calibri" w:hAnsi="Arial" w:cs="Arial"/>
          <w:b/>
          <w:i/>
          <w:iCs/>
          <w:color w:val="000000"/>
          <w:sz w:val="20"/>
          <w:szCs w:val="20"/>
          <w:shd w:val="clear" w:color="auto" w:fill="FFFFFF"/>
          <w:lang w:eastAsia="en-US"/>
        </w:rPr>
        <w:t xml:space="preserve">Art. 8 – </w:t>
      </w:r>
      <w:r w:rsidR="001E18F2" w:rsidRPr="00FC0DFA">
        <w:rPr>
          <w:rFonts w:ascii="Arial" w:eastAsia="Calibri" w:hAnsi="Arial" w:cs="Arial"/>
          <w:bCs/>
          <w:color w:val="000000"/>
          <w:sz w:val="20"/>
          <w:szCs w:val="20"/>
          <w:shd w:val="clear" w:color="auto" w:fill="FFFFFF"/>
          <w:lang w:eastAsia="en-US"/>
        </w:rPr>
        <w:t xml:space="preserve">Les ministres de la Justice et des Finances sont chargés, chacun </w:t>
      </w:r>
      <w:r w:rsidR="00AF48FC" w:rsidRPr="00FC0DFA">
        <w:rPr>
          <w:rFonts w:ascii="Arial" w:eastAsia="Calibri" w:hAnsi="Arial" w:cs="Arial"/>
          <w:bCs/>
          <w:color w:val="000000"/>
          <w:sz w:val="20"/>
          <w:szCs w:val="20"/>
          <w:shd w:val="clear" w:color="auto" w:fill="FFFFFF"/>
          <w:lang w:eastAsia="en-US"/>
        </w:rPr>
        <w:t>en ce qui le concerne, de l’exécution du présent décret qui sera publié au Journal Officiel de la République Tunisienne.</w:t>
      </w:r>
    </w:p>
    <w:p w14:paraId="71E6F4F2" w14:textId="45581249" w:rsidR="00E953A2" w:rsidRPr="00FC0DFA" w:rsidRDefault="00AF48FC" w:rsidP="00FC0DFA">
      <w:pPr>
        <w:spacing w:before="100" w:beforeAutospacing="1" w:after="0" w:line="240" w:lineRule="auto"/>
        <w:ind w:left="283"/>
        <w:jc w:val="both"/>
        <w:rPr>
          <w:rFonts w:ascii="Arial" w:eastAsia="Calibri" w:hAnsi="Arial" w:cs="Arial"/>
          <w:bCs/>
          <w:sz w:val="20"/>
          <w:szCs w:val="20"/>
          <w:lang w:eastAsia="en-US"/>
        </w:rPr>
      </w:pPr>
      <w:r w:rsidRPr="00FC0DFA">
        <w:rPr>
          <w:rFonts w:ascii="Arial" w:eastAsia="Calibri" w:hAnsi="Arial" w:cs="Arial"/>
          <w:b/>
          <w:color w:val="000000"/>
          <w:sz w:val="20"/>
          <w:szCs w:val="20"/>
          <w:shd w:val="clear" w:color="auto" w:fill="FFFFFF"/>
          <w:lang w:eastAsia="en-US"/>
        </w:rPr>
        <w:t>Tunis, le 20 juillet 1992.</w:t>
      </w:r>
      <w:bookmarkStart w:id="0" w:name="_GoBack"/>
      <w:bookmarkEnd w:id="0"/>
    </w:p>
    <w:sectPr w:rsidR="00E953A2" w:rsidRPr="00FC0DFA" w:rsidSect="00A24F23">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3763" w14:textId="77777777" w:rsidR="001E18F2" w:rsidRDefault="001E18F2" w:rsidP="008F3F2D">
      <w:r>
        <w:separator/>
      </w:r>
    </w:p>
  </w:endnote>
  <w:endnote w:type="continuationSeparator" w:id="0">
    <w:p w14:paraId="375ECFCB" w14:textId="77777777" w:rsidR="001E18F2" w:rsidRDefault="001E18F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1E18F2" w:rsidRPr="00C64B86" w:rsidRDefault="001E18F2">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7EAFDBC4" w:rsidR="001E18F2" w:rsidRPr="00A00644" w:rsidRDefault="001E18F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0DF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0DFA">
                            <w:rPr>
                              <w:rFonts w:ascii="Arial" w:hAnsi="Arial" w:cs="Arial"/>
                              <w:noProof/>
                              <w:sz w:val="18"/>
                              <w:szCs w:val="18"/>
                            </w:rPr>
                            <w:t>2</w:t>
                          </w:r>
                          <w:r w:rsidRPr="001E5DD5">
                            <w:rPr>
                              <w:rFonts w:ascii="Arial" w:hAnsi="Arial" w:cs="Arial"/>
                              <w:noProof/>
                              <w:sz w:val="18"/>
                              <w:szCs w:val="18"/>
                            </w:rPr>
                            <w:fldChar w:fldCharType="end"/>
                          </w:r>
                        </w:p>
                        <w:p w14:paraId="75F5800F" w14:textId="77777777" w:rsidR="001E18F2" w:rsidRDefault="001E18F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7EAFDBC4" w:rsidR="001E18F2" w:rsidRPr="00A00644" w:rsidRDefault="001E18F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0DF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0DFA">
                      <w:rPr>
                        <w:rFonts w:ascii="Arial" w:hAnsi="Arial" w:cs="Arial"/>
                        <w:noProof/>
                        <w:sz w:val="18"/>
                        <w:szCs w:val="18"/>
                      </w:rPr>
                      <w:t>2</w:t>
                    </w:r>
                    <w:r w:rsidRPr="001E5DD5">
                      <w:rPr>
                        <w:rFonts w:ascii="Arial" w:hAnsi="Arial" w:cs="Arial"/>
                        <w:noProof/>
                        <w:sz w:val="18"/>
                        <w:szCs w:val="18"/>
                      </w:rPr>
                      <w:fldChar w:fldCharType="end"/>
                    </w:r>
                  </w:p>
                  <w:p w14:paraId="75F5800F" w14:textId="77777777" w:rsidR="001E18F2" w:rsidRDefault="001E18F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1E18F2" w:rsidRDefault="001E18F2">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7711E60" w:rsidR="001E18F2" w:rsidRPr="00A00644" w:rsidRDefault="001E18F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0DF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0DFA">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67711E60" w:rsidR="001E18F2" w:rsidRPr="00A00644" w:rsidRDefault="001E18F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C0DF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C0DFA">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D9E6B" w14:textId="77777777" w:rsidR="001E18F2" w:rsidRDefault="001E18F2" w:rsidP="008F3F2D">
      <w:r>
        <w:separator/>
      </w:r>
    </w:p>
  </w:footnote>
  <w:footnote w:type="continuationSeparator" w:id="0">
    <w:p w14:paraId="2F3B9D35" w14:textId="77777777" w:rsidR="001E18F2" w:rsidRDefault="001E18F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1E18F2" w:rsidRDefault="001E18F2">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1E18F2" w:rsidRDefault="001E18F2" w:rsidP="0097472C">
                          <w:pPr>
                            <w:spacing w:after="0" w:line="240" w:lineRule="auto"/>
                            <w:ind w:left="567"/>
                            <w:rPr>
                              <w:rFonts w:ascii="Arial" w:eastAsia="Times New Roman" w:hAnsi="Arial" w:cs="Times New Roman"/>
                              <w:sz w:val="24"/>
                              <w:szCs w:val="24"/>
                            </w:rPr>
                          </w:pPr>
                        </w:p>
                        <w:p w14:paraId="6E13C0BA" w14:textId="77777777" w:rsidR="001E18F2" w:rsidRPr="005F7BF4" w:rsidRDefault="001E18F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1E18F2" w:rsidRPr="005F7BF4" w:rsidRDefault="001E18F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1E18F2" w:rsidRDefault="001E18F2" w:rsidP="0097472C">
                    <w:pPr>
                      <w:spacing w:after="0" w:line="240" w:lineRule="auto"/>
                      <w:ind w:left="567"/>
                      <w:rPr>
                        <w:rFonts w:ascii="Arial" w:eastAsia="Times New Roman" w:hAnsi="Arial" w:cs="Times New Roman"/>
                        <w:sz w:val="24"/>
                        <w:szCs w:val="24"/>
                      </w:rPr>
                    </w:pPr>
                  </w:p>
                  <w:p w14:paraId="6E13C0BA" w14:textId="77777777" w:rsidR="001E18F2" w:rsidRPr="005F7BF4" w:rsidRDefault="001E18F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1E18F2" w:rsidRPr="005F7BF4" w:rsidRDefault="001E18F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1E18F2" w:rsidRDefault="001E18F2">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1E18F2" w:rsidRDefault="001E18F2" w:rsidP="0075404E">
                          <w:pPr>
                            <w:spacing w:after="0" w:line="20" w:lineRule="atLeast"/>
                            <w:ind w:left="567"/>
                            <w:rPr>
                              <w:rFonts w:ascii="Arial" w:eastAsia="Times New Roman" w:hAnsi="Arial" w:cs="Arial"/>
                              <w:sz w:val="24"/>
                              <w:szCs w:val="20"/>
                              <w:lang w:eastAsia="en-US"/>
                            </w:rPr>
                          </w:pPr>
                        </w:p>
                        <w:p w14:paraId="590536B7" w14:textId="77777777" w:rsidR="001E18F2" w:rsidRPr="00317C84" w:rsidRDefault="001E18F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1E18F2" w:rsidRPr="00317C84" w:rsidRDefault="001E18F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1E18F2" w:rsidRDefault="001E18F2"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1E18F2" w:rsidRDefault="001E18F2" w:rsidP="0075404E">
                    <w:pPr>
                      <w:spacing w:after="0" w:line="20" w:lineRule="atLeast"/>
                      <w:ind w:left="567"/>
                      <w:rPr>
                        <w:rFonts w:ascii="Arial" w:eastAsia="Times New Roman" w:hAnsi="Arial" w:cs="Arial"/>
                        <w:sz w:val="24"/>
                        <w:szCs w:val="20"/>
                        <w:lang w:eastAsia="en-US"/>
                      </w:rPr>
                    </w:pPr>
                  </w:p>
                  <w:p w14:paraId="590536B7" w14:textId="77777777" w:rsidR="001E18F2" w:rsidRPr="00317C84" w:rsidRDefault="001E18F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1E18F2" w:rsidRPr="00317C84" w:rsidRDefault="001E18F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1E18F2" w:rsidRDefault="001E18F2"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A6DE3"/>
    <w:multiLevelType w:val="hybridMultilevel"/>
    <w:tmpl w:val="F996805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D5847"/>
    <w:multiLevelType w:val="hybridMultilevel"/>
    <w:tmpl w:val="C556F14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CE494D"/>
    <w:multiLevelType w:val="hybridMultilevel"/>
    <w:tmpl w:val="918886C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9547FD"/>
    <w:multiLevelType w:val="hybridMultilevel"/>
    <w:tmpl w:val="FF6A1C26"/>
    <w:lvl w:ilvl="0" w:tplc="9604901C">
      <w:numFmt w:val="bullet"/>
      <w:lvlText w:val=""/>
      <w:lvlJc w:val="left"/>
      <w:pPr>
        <w:ind w:left="2137" w:hanging="360"/>
      </w:pPr>
      <w:rPr>
        <w:rFonts w:ascii="Symbol" w:eastAsiaTheme="minorHAnsi" w:hAnsi="Symbol" w:cs="Arial" w:hint="default"/>
        <w:color w:val="000000"/>
        <w:sz w:val="20"/>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0"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9D62A9"/>
    <w:multiLevelType w:val="hybridMultilevel"/>
    <w:tmpl w:val="771C0F8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533669"/>
    <w:multiLevelType w:val="hybridMultilevel"/>
    <w:tmpl w:val="873ED310"/>
    <w:lvl w:ilvl="0" w:tplc="B8808EFA">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49B15994"/>
    <w:multiLevelType w:val="hybridMultilevel"/>
    <w:tmpl w:val="B87ABE20"/>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6" w15:restartNumberingAfterBreak="0">
    <w:nsid w:val="4A7B13E9"/>
    <w:multiLevelType w:val="hybridMultilevel"/>
    <w:tmpl w:val="EE5AA56E"/>
    <w:lvl w:ilvl="0" w:tplc="E48C4EB8">
      <w:start w:val="1"/>
      <w:numFmt w:val="upperLetter"/>
      <w:lvlText w:val="%1."/>
      <w:lvlJc w:val="left"/>
      <w:pPr>
        <w:ind w:left="720" w:hanging="360"/>
      </w:pPr>
      <w:rPr>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A02091"/>
    <w:multiLevelType w:val="hybridMultilevel"/>
    <w:tmpl w:val="FA9CCC86"/>
    <w:lvl w:ilvl="0" w:tplc="A41C6D72">
      <w:start w:val="1"/>
      <w:numFmt w:val="upperLetter"/>
      <w:lvlText w:val="%1."/>
      <w:lvlJc w:val="left"/>
      <w:pPr>
        <w:ind w:left="720" w:hanging="360"/>
      </w:pPr>
      <w:rPr>
        <w:b w:val="0"/>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9C6316"/>
    <w:multiLevelType w:val="hybridMultilevel"/>
    <w:tmpl w:val="BBA418A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FC4B07"/>
    <w:multiLevelType w:val="hybridMultilevel"/>
    <w:tmpl w:val="07BE4EB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8D5F71"/>
    <w:multiLevelType w:val="hybridMultilevel"/>
    <w:tmpl w:val="B4607906"/>
    <w:lvl w:ilvl="0" w:tplc="C0BC9A9A">
      <w:numFmt w:val="bullet"/>
      <w:lvlText w:val="-"/>
      <w:lvlJc w:val="left"/>
      <w:pPr>
        <w:ind w:left="643" w:hanging="360"/>
      </w:pPr>
      <w:rPr>
        <w:rFonts w:ascii="Arial" w:eastAsia="Calibri" w:hAnsi="Arial" w:cs="Arial" w:hint="default"/>
        <w:b/>
        <w:i/>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4"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E84683"/>
    <w:multiLevelType w:val="hybridMultilevel"/>
    <w:tmpl w:val="9E489A4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7E43F83"/>
    <w:multiLevelType w:val="hybridMultilevel"/>
    <w:tmpl w:val="A092AC3E"/>
    <w:lvl w:ilvl="0" w:tplc="30F8EF3E">
      <w:numFmt w:val="bullet"/>
      <w:lvlText w:val="-"/>
      <w:lvlJc w:val="left"/>
      <w:pPr>
        <w:ind w:left="643" w:hanging="360"/>
      </w:pPr>
      <w:rPr>
        <w:rFonts w:ascii="Arial" w:eastAsia="Calibri" w:hAnsi="Arial" w:cs="Arial" w:hint="default"/>
        <w:b/>
        <w:i/>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8" w15:restartNumberingAfterBreak="0">
    <w:nsid w:val="79174566"/>
    <w:multiLevelType w:val="hybridMultilevel"/>
    <w:tmpl w:val="3500CC5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7A01B1"/>
    <w:multiLevelType w:val="hybridMultilevel"/>
    <w:tmpl w:val="F4C25848"/>
    <w:lvl w:ilvl="0" w:tplc="DDEA11A2">
      <w:numFmt w:val="bullet"/>
      <w:lvlText w:val="-"/>
      <w:lvlJc w:val="left"/>
      <w:pPr>
        <w:ind w:left="643" w:hanging="360"/>
      </w:pPr>
      <w:rPr>
        <w:rFonts w:ascii="Arial" w:eastAsia="Calibri" w:hAnsi="Arial" w:cs="Arial" w:hint="default"/>
        <w:b/>
        <w:i/>
        <w:color w:val="000000"/>
        <w:sz w:val="2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0"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0"/>
  </w:num>
  <w:num w:numId="3">
    <w:abstractNumId w:val="24"/>
  </w:num>
  <w:num w:numId="4">
    <w:abstractNumId w:val="11"/>
  </w:num>
  <w:num w:numId="5">
    <w:abstractNumId w:val="22"/>
  </w:num>
  <w:num w:numId="6">
    <w:abstractNumId w:val="30"/>
  </w:num>
  <w:num w:numId="7">
    <w:abstractNumId w:val="18"/>
  </w:num>
  <w:num w:numId="8">
    <w:abstractNumId w:val="3"/>
  </w:num>
  <w:num w:numId="9">
    <w:abstractNumId w:val="17"/>
  </w:num>
  <w:num w:numId="10">
    <w:abstractNumId w:val="7"/>
  </w:num>
  <w:num w:numId="11">
    <w:abstractNumId w:val="6"/>
  </w:num>
  <w:num w:numId="12">
    <w:abstractNumId w:val="2"/>
  </w:num>
  <w:num w:numId="13">
    <w:abstractNumId w:val="8"/>
  </w:num>
  <w:num w:numId="14">
    <w:abstractNumId w:val="25"/>
  </w:num>
  <w:num w:numId="15">
    <w:abstractNumId w:val="13"/>
  </w:num>
  <w:num w:numId="16">
    <w:abstractNumId w:val="4"/>
  </w:num>
  <w:num w:numId="17">
    <w:abstractNumId w:val="28"/>
  </w:num>
  <w:num w:numId="18">
    <w:abstractNumId w:val="20"/>
  </w:num>
  <w:num w:numId="19">
    <w:abstractNumId w:val="26"/>
  </w:num>
  <w:num w:numId="20">
    <w:abstractNumId w:val="9"/>
  </w:num>
  <w:num w:numId="21">
    <w:abstractNumId w:val="19"/>
  </w:num>
  <w:num w:numId="22">
    <w:abstractNumId w:val="16"/>
  </w:num>
  <w:num w:numId="23">
    <w:abstractNumId w:val="21"/>
  </w:num>
  <w:num w:numId="24">
    <w:abstractNumId w:val="5"/>
  </w:num>
  <w:num w:numId="25">
    <w:abstractNumId w:val="1"/>
  </w:num>
  <w:num w:numId="26">
    <w:abstractNumId w:val="15"/>
  </w:num>
  <w:num w:numId="27">
    <w:abstractNumId w:val="12"/>
  </w:num>
  <w:num w:numId="28">
    <w:abstractNumId w:val="23"/>
  </w:num>
  <w:num w:numId="29">
    <w:abstractNumId w:val="14"/>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61148"/>
    <w:rsid w:val="000B0D20"/>
    <w:rsid w:val="000D0DE1"/>
    <w:rsid w:val="001E18F2"/>
    <w:rsid w:val="001E5DD5"/>
    <w:rsid w:val="0020398F"/>
    <w:rsid w:val="002B19EE"/>
    <w:rsid w:val="00354137"/>
    <w:rsid w:val="003B6CD4"/>
    <w:rsid w:val="00400FF9"/>
    <w:rsid w:val="00504BB0"/>
    <w:rsid w:val="005F7BF4"/>
    <w:rsid w:val="00674326"/>
    <w:rsid w:val="00684129"/>
    <w:rsid w:val="00724237"/>
    <w:rsid w:val="007244D3"/>
    <w:rsid w:val="0075404E"/>
    <w:rsid w:val="0089552E"/>
    <w:rsid w:val="008F3F2D"/>
    <w:rsid w:val="00957F0E"/>
    <w:rsid w:val="0097472C"/>
    <w:rsid w:val="009E4ACF"/>
    <w:rsid w:val="00A00644"/>
    <w:rsid w:val="00A04F09"/>
    <w:rsid w:val="00A24F23"/>
    <w:rsid w:val="00A90F21"/>
    <w:rsid w:val="00AD2268"/>
    <w:rsid w:val="00AF48FC"/>
    <w:rsid w:val="00B05438"/>
    <w:rsid w:val="00B617F1"/>
    <w:rsid w:val="00C1635D"/>
    <w:rsid w:val="00C61238"/>
    <w:rsid w:val="00C64B86"/>
    <w:rsid w:val="00CC4ADF"/>
    <w:rsid w:val="00D07749"/>
    <w:rsid w:val="00E10A35"/>
    <w:rsid w:val="00E953A2"/>
    <w:rsid w:val="00F57B75"/>
    <w:rsid w:val="00FB1EE6"/>
    <w:rsid w:val="00FC0DFA"/>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15:docId w15:val="{26373FC7-278A-47B3-8617-FE9B7084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2842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Wided</cp:lastModifiedBy>
  <cp:revision>3</cp:revision>
  <cp:lastPrinted>2012-08-01T11:35:00Z</cp:lastPrinted>
  <dcterms:created xsi:type="dcterms:W3CDTF">2018-01-29T16:24:00Z</dcterms:created>
  <dcterms:modified xsi:type="dcterms:W3CDTF">2018-01-29T16:25:00Z</dcterms:modified>
</cp:coreProperties>
</file>