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p w14:paraId="709C885A" w14:textId="77777777" w:rsidR="00BB0936" w:rsidRPr="00BB0936" w:rsidRDefault="00BB0936" w:rsidP="00BB0936">
      <w:pPr>
        <w:widowControl w:val="0"/>
        <w:kinsoku w:val="0"/>
        <w:overflowPunct w:val="0"/>
        <w:spacing w:before="100" w:beforeAutospacing="1" w:after="0"/>
        <w:ind w:left="283"/>
        <w:jc w:val="both"/>
        <w:textAlignment w:val="baseline"/>
        <w:rPr>
          <w:rFonts w:ascii="Arial" w:eastAsia="Times New Roman" w:hAnsi="Arial" w:cs="Arial"/>
          <w:b/>
          <w:bCs/>
          <w:sz w:val="24"/>
          <w:szCs w:val="24"/>
        </w:rPr>
      </w:pPr>
      <w:bookmarkStart w:id="0" w:name="_GoBack"/>
      <w:bookmarkEnd w:id="0"/>
      <w:r w:rsidRPr="00BB0936">
        <w:rPr>
          <w:rFonts w:ascii="Arial" w:eastAsia="Times New Roman" w:hAnsi="Arial" w:cs="Arial"/>
          <w:b/>
          <w:bCs/>
          <w:sz w:val="24"/>
          <w:szCs w:val="24"/>
        </w:rPr>
        <w:t>Décret n° 87-341 du 6 mars 1987 fixant les emplois fonctionnels exercés par les magistrats du copra de la justice militaire ainsi que les avantages et Indemnités alloués au titre de ces emplois fonctionnels</w:t>
      </w:r>
    </w:p>
    <w:p w14:paraId="4027CE6B" w14:textId="77777777" w:rsidR="00BB0936" w:rsidRPr="00BB0936" w:rsidRDefault="00BB0936" w:rsidP="00BB0936">
      <w:pPr>
        <w:widowControl w:val="0"/>
        <w:kinsoku w:val="0"/>
        <w:overflowPunct w:val="0"/>
        <w:spacing w:before="100" w:beforeAutospacing="1" w:after="0"/>
        <w:ind w:left="283"/>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Nous, Habib Bourguiba, Président de la République tunisienne,</w:t>
      </w:r>
    </w:p>
    <w:p w14:paraId="5226C419" w14:textId="77777777" w:rsidR="00BB0936" w:rsidRPr="00BB0936" w:rsidRDefault="00BB0936" w:rsidP="00BB0936">
      <w:pPr>
        <w:widowControl w:val="0"/>
        <w:kinsoku w:val="0"/>
        <w:overflowPunct w:val="0"/>
        <w:spacing w:before="100" w:beforeAutospacing="1" w:after="0"/>
        <w:ind w:left="283"/>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Sur proposition du ministre de la défense nationale,</w:t>
      </w:r>
    </w:p>
    <w:p w14:paraId="343DDC22" w14:textId="77777777" w:rsidR="00BB0936" w:rsidRPr="00BB0936" w:rsidRDefault="00BB0936" w:rsidP="00BB0936">
      <w:pPr>
        <w:widowControl w:val="0"/>
        <w:kinsoku w:val="0"/>
        <w:overflowPunct w:val="0"/>
        <w:spacing w:before="100" w:beforeAutospacing="1" w:after="0"/>
        <w:ind w:left="283"/>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Vu le décret du 10 janvier 1957 portant promulgation du code de la justice militaire, ensemble les textes qui l'ont modifié ou complété notamment le décret n° 86-5 du 12 septembre 1986, modifié par la loi n° 86-101 du 9 décembre 1986,</w:t>
      </w:r>
    </w:p>
    <w:p w14:paraId="4432D127" w14:textId="77777777" w:rsidR="00BB0936" w:rsidRPr="00BB0936" w:rsidRDefault="00BB0936" w:rsidP="00BB0936">
      <w:pPr>
        <w:widowControl w:val="0"/>
        <w:kinsoku w:val="0"/>
        <w:overflowPunct w:val="0"/>
        <w:spacing w:before="100" w:beforeAutospacing="1" w:after="0"/>
        <w:ind w:left="283"/>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Vu la loi n° 67-20 du 31 mai 1967 portant statut général des militaires,</w:t>
      </w:r>
    </w:p>
    <w:p w14:paraId="6C8EA5F9" w14:textId="77777777" w:rsidR="00BB0936" w:rsidRPr="00BB0936" w:rsidRDefault="00BB0936" w:rsidP="00BB0936">
      <w:pPr>
        <w:widowControl w:val="0"/>
        <w:kinsoku w:val="0"/>
        <w:overflowPunct w:val="0"/>
        <w:spacing w:before="100" w:beforeAutospacing="1" w:after="0"/>
        <w:ind w:left="283"/>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Vu la loi n° 67-29 du 14 juillet 1967 relative à l'organisation judiciaire, au conseil supérieur des magistrats et au statut de la magistrature, ensemble les textes qui l'ont modifié ou complété,</w:t>
      </w:r>
    </w:p>
    <w:p w14:paraId="3782355F" w14:textId="77777777" w:rsidR="00BB0936" w:rsidRPr="00BB0936" w:rsidRDefault="00BB0936" w:rsidP="00BB0936">
      <w:pPr>
        <w:widowControl w:val="0"/>
        <w:kinsoku w:val="0"/>
        <w:overflowPunct w:val="0"/>
        <w:spacing w:before="100" w:beforeAutospacing="1" w:after="0"/>
        <w:ind w:left="283"/>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Vu le décret n° 67-158 du 31 mai 1967, fixant les indemnités applicables aux personnels de l'armée de terre, ensemble les textes qui l'ont modifié ou complété,</w:t>
      </w:r>
    </w:p>
    <w:p w14:paraId="1946575A" w14:textId="77777777" w:rsidR="00BB0936" w:rsidRPr="00BB0936" w:rsidRDefault="00BB0936" w:rsidP="00BB0936">
      <w:pPr>
        <w:widowControl w:val="0"/>
        <w:kinsoku w:val="0"/>
        <w:overflowPunct w:val="0"/>
        <w:spacing w:before="100" w:beforeAutospacing="1" w:after="0"/>
        <w:ind w:left="283"/>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Vu le décret n° 68-385 du 12 décembre 1968 relatif aux indemnités accordées aux personnels des cadres actifs de l'armée de l'air, ensemble les textes qui l'ont modifié ou complété,</w:t>
      </w:r>
    </w:p>
    <w:p w14:paraId="3A91E95E" w14:textId="77777777" w:rsidR="00BB0936" w:rsidRPr="00BB0936" w:rsidRDefault="00BB0936" w:rsidP="00BB0936">
      <w:pPr>
        <w:widowControl w:val="0"/>
        <w:kinsoku w:val="0"/>
        <w:overflowPunct w:val="0"/>
        <w:spacing w:before="100" w:beforeAutospacing="1" w:after="0"/>
        <w:ind w:left="283"/>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Vu le décret n° 68-389 du 12 décembre 1968 relatif aux indemnités accordées aux militaire de l'année de mer, ensemble les textes qui l'ont modifié ou complété,</w:t>
      </w:r>
    </w:p>
    <w:p w14:paraId="0AB2948B" w14:textId="77777777" w:rsidR="00BB0936" w:rsidRPr="00BB0936" w:rsidRDefault="00BB0936" w:rsidP="00BB0936">
      <w:pPr>
        <w:widowControl w:val="0"/>
        <w:kinsoku w:val="0"/>
        <w:overflowPunct w:val="0"/>
        <w:spacing w:before="100" w:beforeAutospacing="1" w:after="0"/>
        <w:ind w:left="283"/>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Vu le décret n° 71-165 du 3 mai 1971 relatif au classement hiérarchique et à l'échelonnement indiciaire applicable aux magistrats de l'ordre judiciaire du ministère de la justice, ensemble les textes qui l'ont modifié ou complété,</w:t>
      </w:r>
    </w:p>
    <w:p w14:paraId="7FF9405B" w14:textId="77777777" w:rsidR="00BB0936" w:rsidRPr="00BB0936" w:rsidRDefault="00BB0936" w:rsidP="00BB0936">
      <w:pPr>
        <w:widowControl w:val="0"/>
        <w:kinsoku w:val="0"/>
        <w:overflowPunct w:val="0"/>
        <w:spacing w:before="100" w:beforeAutospacing="1" w:after="0"/>
        <w:ind w:left="283"/>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Vu le décret n° 72-369 du 27 novembre 1972 relatif aux indemnités accordées à certaines catégories de personnels du ministère de la justice ensemble les textes qui l'ont modifié ou complété,</w:t>
      </w:r>
    </w:p>
    <w:p w14:paraId="1826D52D" w14:textId="77777777" w:rsidR="00BB0936" w:rsidRPr="00BB0936" w:rsidRDefault="00BB0936" w:rsidP="00BB0936">
      <w:pPr>
        <w:widowControl w:val="0"/>
        <w:kinsoku w:val="0"/>
        <w:overflowPunct w:val="0"/>
        <w:spacing w:before="100" w:beforeAutospacing="1" w:after="0"/>
        <w:ind w:left="283"/>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Vu le décret n° 72-380 du 6 décembre 1972 portant statut particulier des militaires,</w:t>
      </w:r>
    </w:p>
    <w:p w14:paraId="24CCEB67" w14:textId="77777777" w:rsidR="00BB0936" w:rsidRPr="00BB0936" w:rsidRDefault="00BB0936" w:rsidP="00BB0936">
      <w:pPr>
        <w:widowControl w:val="0"/>
        <w:kinsoku w:val="0"/>
        <w:overflowPunct w:val="0"/>
        <w:spacing w:before="100" w:beforeAutospacing="1" w:after="0"/>
        <w:ind w:left="283"/>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Vu le décret n° 72-381 du 6 décembre 1972 relatif au classement hiérarchique et à l'échelonnement indiciaire applicables aux personnels officiers, sous-officiers et caporaux-chefs de l'armée, ensemble les textes qui l'ont modifié ou complété;</w:t>
      </w:r>
    </w:p>
    <w:p w14:paraId="646F8FE7" w14:textId="77777777" w:rsidR="00BB0936" w:rsidRPr="00BB0936" w:rsidRDefault="00BB0936" w:rsidP="00BB0936">
      <w:pPr>
        <w:widowControl w:val="0"/>
        <w:kinsoku w:val="0"/>
        <w:overflowPunct w:val="0"/>
        <w:spacing w:before="100" w:beforeAutospacing="1" w:after="0"/>
        <w:ind w:left="283"/>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Vu le décret n° 73-233 du 25 mai 1973 relatif au régime d'occupation de logements par les personnels militaires, ensemble les textes qui l'ont modifié ou complété,</w:t>
      </w:r>
    </w:p>
    <w:p w14:paraId="26F087AE" w14:textId="77777777" w:rsidR="00BB0936" w:rsidRPr="00BB0936" w:rsidRDefault="00BB0936" w:rsidP="00BB0936">
      <w:pPr>
        <w:widowControl w:val="0"/>
        <w:kinsoku w:val="0"/>
        <w:overflowPunct w:val="0"/>
        <w:spacing w:before="100" w:beforeAutospacing="1" w:after="0"/>
        <w:ind w:left="283"/>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Vu le décret n° 73-436 du 21 septembre 1973 relatif à la fixation des fonctions exercées par les magistrats de l'ordre judiciaire, ensemble les textes qui l'ont modifié ou complété et notamment le décret n° 85-297 du 22 février 1985 et le décret n° 85-812 du 7 juin 1985,</w:t>
      </w:r>
    </w:p>
    <w:p w14:paraId="7491F43A" w14:textId="77777777" w:rsidR="00BB0936" w:rsidRPr="00BB0936" w:rsidRDefault="00BB0936" w:rsidP="00BB0936">
      <w:pPr>
        <w:widowControl w:val="0"/>
        <w:kinsoku w:val="0"/>
        <w:overflowPunct w:val="0"/>
        <w:spacing w:before="100" w:beforeAutospacing="1" w:after="0"/>
        <w:ind w:left="283"/>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Vu le décret n° 75-671 du 24 septembre 1975 fixant les attributions du ministère de la défense nationale,</w:t>
      </w:r>
    </w:p>
    <w:p w14:paraId="1E5342FE" w14:textId="77777777" w:rsidR="00BB0936" w:rsidRPr="00BB0936" w:rsidRDefault="00BB0936" w:rsidP="00BB0936">
      <w:pPr>
        <w:widowControl w:val="0"/>
        <w:kinsoku w:val="0"/>
        <w:overflowPunct w:val="0"/>
        <w:spacing w:before="100" w:beforeAutospacing="1" w:after="0"/>
        <w:ind w:left="283"/>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Vu le décret n° 81-771 du 8 juin 1981 relatif à la fixation des fonctions exercées par les magistrats civils du tribunal militaire permanent et les magistrats du corps de la justice militaire ainsi que les avantages et indemnités accordés au titre de ces fonctions et le décret n° 82-561 du 30 mars 1982 qui l'a complété et modifié,</w:t>
      </w:r>
    </w:p>
    <w:p w14:paraId="7B3DCFBB" w14:textId="77777777" w:rsidR="00BB0936" w:rsidRPr="00BB0936" w:rsidRDefault="00BB0936" w:rsidP="00BB0936">
      <w:pPr>
        <w:widowControl w:val="0"/>
        <w:kinsoku w:val="0"/>
        <w:overflowPunct w:val="0"/>
        <w:spacing w:before="100" w:beforeAutospacing="1" w:after="0"/>
        <w:ind w:left="283"/>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Vu le décret n° 85-813 du 7 juin 1985 relatif à l'octroi d'une prime de magistrature au profit des magistrats de l'ordre judiciaire,</w:t>
      </w:r>
    </w:p>
    <w:p w14:paraId="0D572163" w14:textId="77777777" w:rsidR="00BB0936" w:rsidRPr="00BB0936" w:rsidRDefault="00BB0936" w:rsidP="00BB0936">
      <w:pPr>
        <w:widowControl w:val="0"/>
        <w:kinsoku w:val="0"/>
        <w:overflowPunct w:val="0"/>
        <w:spacing w:before="100" w:beforeAutospacing="1" w:after="0"/>
        <w:ind w:left="283"/>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Vu l'avis des ministres de la justice de la fonction publique et de la réforme administrative et du plan et des finances,</w:t>
      </w:r>
    </w:p>
    <w:p w14:paraId="62A88E62" w14:textId="77777777" w:rsidR="00BB0936" w:rsidRPr="00BB0936" w:rsidRDefault="00BB0936" w:rsidP="00BB0936">
      <w:pPr>
        <w:widowControl w:val="0"/>
        <w:kinsoku w:val="0"/>
        <w:overflowPunct w:val="0"/>
        <w:spacing w:before="100" w:beforeAutospacing="1" w:after="0"/>
        <w:ind w:left="283"/>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Vu l'avis du tribunal administratif,</w:t>
      </w:r>
    </w:p>
    <w:p w14:paraId="776B2103" w14:textId="77777777" w:rsidR="00BB0936" w:rsidRPr="00BB0936" w:rsidRDefault="00BB0936" w:rsidP="00BB0936">
      <w:pPr>
        <w:widowControl w:val="0"/>
        <w:kinsoku w:val="0"/>
        <w:overflowPunct w:val="0"/>
        <w:spacing w:before="100" w:beforeAutospacing="1" w:after="0"/>
        <w:ind w:left="283"/>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Décrétons :</w:t>
      </w:r>
    </w:p>
    <w:p w14:paraId="63DE6101" w14:textId="77777777" w:rsidR="00BB0936" w:rsidRPr="00BB0936" w:rsidRDefault="00BB0936" w:rsidP="00BB0936">
      <w:pPr>
        <w:widowControl w:val="0"/>
        <w:kinsoku w:val="0"/>
        <w:overflowPunct w:val="0"/>
        <w:spacing w:before="100" w:beforeAutospacing="1" w:after="0"/>
        <w:ind w:left="283"/>
        <w:jc w:val="both"/>
        <w:textAlignment w:val="baseline"/>
        <w:rPr>
          <w:rFonts w:ascii="Arial" w:eastAsia="Times New Roman" w:hAnsi="Arial" w:cs="Arial"/>
          <w:spacing w:val="5"/>
          <w:sz w:val="20"/>
          <w:szCs w:val="20"/>
        </w:rPr>
      </w:pPr>
      <w:r w:rsidRPr="00BB0936">
        <w:rPr>
          <w:rFonts w:ascii="Arial" w:eastAsia="Times New Roman" w:hAnsi="Arial" w:cs="Arial"/>
          <w:b/>
          <w:bCs/>
          <w:i/>
          <w:iCs/>
          <w:spacing w:val="5"/>
          <w:sz w:val="20"/>
          <w:szCs w:val="20"/>
        </w:rPr>
        <w:t xml:space="preserve">Article premier – </w:t>
      </w:r>
      <w:r w:rsidRPr="00BB0936">
        <w:rPr>
          <w:rFonts w:ascii="Arial" w:eastAsia="Times New Roman" w:hAnsi="Arial" w:cs="Arial"/>
          <w:spacing w:val="5"/>
          <w:sz w:val="20"/>
          <w:szCs w:val="20"/>
        </w:rPr>
        <w:t>Les fonctions exercées par les membres du corps des officiers de la justice militaire et les magistrats civils des tribunaux militaires sont les suivantes :</w:t>
      </w:r>
    </w:p>
    <w:p w14:paraId="653C5960" w14:textId="77777777" w:rsidR="00BB0936" w:rsidRPr="00BB0936" w:rsidRDefault="00BB0936" w:rsidP="00BB0936">
      <w:pPr>
        <w:widowControl w:val="0"/>
        <w:numPr>
          <w:ilvl w:val="0"/>
          <w:numId w:val="33"/>
        </w:numPr>
        <w:kinsoku w:val="0"/>
        <w:overflowPunct w:val="0"/>
        <w:spacing w:before="100" w:beforeAutospacing="1" w:after="0" w:line="240" w:lineRule="auto"/>
        <w:ind w:left="1494"/>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Les magistrats militaires : Procureur général directeur de la justice militaire :</w:t>
      </w:r>
    </w:p>
    <w:p w14:paraId="573D94EF" w14:textId="77777777" w:rsidR="00BB0936" w:rsidRPr="00BB0936" w:rsidRDefault="00BB0936" w:rsidP="00BB0936">
      <w:pPr>
        <w:widowControl w:val="0"/>
        <w:numPr>
          <w:ilvl w:val="0"/>
          <w:numId w:val="32"/>
        </w:numPr>
        <w:kinsoku w:val="0"/>
        <w:overflowPunct w:val="0"/>
        <w:spacing w:before="100" w:beforeAutospacing="1" w:after="0" w:line="240" w:lineRule="auto"/>
        <w:ind w:left="1494"/>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Président du tribunal militaire (en temps de guerre);</w:t>
      </w:r>
    </w:p>
    <w:p w14:paraId="70878597" w14:textId="77777777" w:rsidR="00BB0936" w:rsidRPr="00BB0936" w:rsidRDefault="00BB0936" w:rsidP="00BB0936">
      <w:pPr>
        <w:widowControl w:val="0"/>
        <w:numPr>
          <w:ilvl w:val="0"/>
          <w:numId w:val="32"/>
        </w:numPr>
        <w:kinsoku w:val="0"/>
        <w:overflowPunct w:val="0"/>
        <w:spacing w:before="100" w:beforeAutospacing="1" w:after="0" w:line="240" w:lineRule="auto"/>
        <w:ind w:left="1494"/>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Commissaire de gouvernement près du tribunal militaire permanent de Tunis;</w:t>
      </w:r>
    </w:p>
    <w:p w14:paraId="1A1CD9DC" w14:textId="77777777" w:rsidR="00BB0936" w:rsidRPr="00BB0936" w:rsidRDefault="00BB0936" w:rsidP="00BB0936">
      <w:pPr>
        <w:widowControl w:val="0"/>
        <w:numPr>
          <w:ilvl w:val="0"/>
          <w:numId w:val="32"/>
        </w:numPr>
        <w:kinsoku w:val="0"/>
        <w:overflowPunct w:val="0"/>
        <w:spacing w:before="100" w:beforeAutospacing="1" w:after="0" w:line="240" w:lineRule="auto"/>
        <w:ind w:left="1494"/>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Premier substitut du procureur général directeur de la justice militaire;</w:t>
      </w:r>
    </w:p>
    <w:p w14:paraId="5FDE84E4" w14:textId="77777777" w:rsidR="00BB0936" w:rsidRPr="00BB0936" w:rsidRDefault="00BB0936" w:rsidP="00BB0936">
      <w:pPr>
        <w:widowControl w:val="0"/>
        <w:numPr>
          <w:ilvl w:val="0"/>
          <w:numId w:val="32"/>
        </w:numPr>
        <w:kinsoku w:val="0"/>
        <w:overflowPunct w:val="0"/>
        <w:spacing w:before="100" w:beforeAutospacing="1" w:after="0" w:line="240" w:lineRule="auto"/>
        <w:ind w:left="1494"/>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Commissaire de gouvernement près du tribunal militaire autre que Tunis;</w:t>
      </w:r>
    </w:p>
    <w:p w14:paraId="769D12F7" w14:textId="77777777" w:rsidR="00BB0936" w:rsidRPr="00BB0936" w:rsidRDefault="00BB0936" w:rsidP="00BB0936">
      <w:pPr>
        <w:widowControl w:val="0"/>
        <w:numPr>
          <w:ilvl w:val="0"/>
          <w:numId w:val="32"/>
        </w:numPr>
        <w:kinsoku w:val="0"/>
        <w:overflowPunct w:val="0"/>
        <w:spacing w:before="100" w:beforeAutospacing="1" w:after="0" w:line="240" w:lineRule="auto"/>
        <w:ind w:left="1494"/>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Premier substitut du commissaire de gouvernement près du tribunal militaire permanent de Tunis;</w:t>
      </w:r>
    </w:p>
    <w:p w14:paraId="02ED7C67" w14:textId="77777777" w:rsidR="00BB0936" w:rsidRPr="00BB0936" w:rsidRDefault="00BB0936" w:rsidP="00BB0936">
      <w:pPr>
        <w:widowControl w:val="0"/>
        <w:numPr>
          <w:ilvl w:val="0"/>
          <w:numId w:val="32"/>
        </w:numPr>
        <w:kinsoku w:val="0"/>
        <w:overflowPunct w:val="0"/>
        <w:spacing w:before="100" w:beforeAutospacing="1" w:after="0" w:line="240" w:lineRule="auto"/>
        <w:ind w:left="1494"/>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Substitut du procureur général directeur de la justice militaire;</w:t>
      </w:r>
    </w:p>
    <w:p w14:paraId="6BCA39D5" w14:textId="77777777" w:rsidR="00BB0936" w:rsidRPr="00BB0936" w:rsidRDefault="00BB0936" w:rsidP="00BB0936">
      <w:pPr>
        <w:widowControl w:val="0"/>
        <w:numPr>
          <w:ilvl w:val="0"/>
          <w:numId w:val="32"/>
        </w:numPr>
        <w:kinsoku w:val="0"/>
        <w:overflowPunct w:val="0"/>
        <w:spacing w:before="100" w:beforeAutospacing="1" w:after="0" w:line="240" w:lineRule="auto"/>
        <w:ind w:left="1494"/>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Premier substitut du commissaire de gouvernement près du tribunal militaire permanent autre que Tunis;</w:t>
      </w:r>
    </w:p>
    <w:p w14:paraId="481985FC" w14:textId="77777777" w:rsidR="00BB0936" w:rsidRPr="00BB0936" w:rsidRDefault="00BB0936" w:rsidP="00BB0936">
      <w:pPr>
        <w:widowControl w:val="0"/>
        <w:numPr>
          <w:ilvl w:val="0"/>
          <w:numId w:val="32"/>
        </w:numPr>
        <w:kinsoku w:val="0"/>
        <w:overflowPunct w:val="0"/>
        <w:spacing w:before="100" w:beforeAutospacing="1" w:after="0" w:line="240" w:lineRule="auto"/>
        <w:ind w:left="1494"/>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Premier juge d'instruction près du tribunal militaire permanent; Juge d'instruction près du tribunal militaire permanent;</w:t>
      </w:r>
    </w:p>
    <w:p w14:paraId="1635EAA4" w14:textId="77777777" w:rsidR="00BB0936" w:rsidRPr="00BB0936" w:rsidRDefault="00BB0936" w:rsidP="00BB0936">
      <w:pPr>
        <w:widowControl w:val="0"/>
        <w:numPr>
          <w:ilvl w:val="0"/>
          <w:numId w:val="32"/>
        </w:numPr>
        <w:kinsoku w:val="0"/>
        <w:overflowPunct w:val="0"/>
        <w:spacing w:before="100" w:beforeAutospacing="1" w:after="0" w:line="240" w:lineRule="auto"/>
        <w:ind w:left="1494"/>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Substitut du commissaire de gouvernement près du tribunal militaire permanent;</w:t>
      </w:r>
    </w:p>
    <w:p w14:paraId="2D77641B" w14:textId="77777777" w:rsidR="00BB0936" w:rsidRPr="00BB0936" w:rsidRDefault="00BB0936" w:rsidP="00BB0936">
      <w:pPr>
        <w:widowControl w:val="0"/>
        <w:numPr>
          <w:ilvl w:val="0"/>
          <w:numId w:val="32"/>
        </w:numPr>
        <w:kinsoku w:val="0"/>
        <w:overflowPunct w:val="0"/>
        <w:spacing w:before="100" w:beforeAutospacing="1" w:after="0" w:line="240" w:lineRule="auto"/>
        <w:ind w:left="1494"/>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Juge rapporteur ;</w:t>
      </w:r>
    </w:p>
    <w:p w14:paraId="58482112" w14:textId="77777777" w:rsidR="00BB0936" w:rsidRPr="00BB0936" w:rsidRDefault="00BB0936" w:rsidP="00BB0936">
      <w:pPr>
        <w:widowControl w:val="0"/>
        <w:numPr>
          <w:ilvl w:val="0"/>
          <w:numId w:val="32"/>
        </w:numPr>
        <w:kinsoku w:val="0"/>
        <w:overflowPunct w:val="0"/>
        <w:spacing w:before="100" w:beforeAutospacing="1" w:after="0" w:line="240" w:lineRule="auto"/>
        <w:ind w:left="1494"/>
        <w:jc w:val="both"/>
        <w:textAlignment w:val="baseline"/>
        <w:rPr>
          <w:rFonts w:ascii="Arial" w:eastAsia="Times New Roman" w:hAnsi="Arial" w:cs="Arial"/>
          <w:spacing w:val="10"/>
          <w:sz w:val="20"/>
          <w:szCs w:val="20"/>
        </w:rPr>
      </w:pPr>
      <w:r w:rsidRPr="00BB0936">
        <w:rPr>
          <w:rFonts w:ascii="Arial" w:eastAsia="Times New Roman" w:hAnsi="Arial" w:cs="Arial"/>
          <w:spacing w:val="5"/>
          <w:sz w:val="20"/>
          <w:szCs w:val="20"/>
        </w:rPr>
        <w:t>Juge unique</w:t>
      </w:r>
      <w:r w:rsidRPr="00BB0936">
        <w:rPr>
          <w:rFonts w:ascii="Arial" w:eastAsia="Times New Roman" w:hAnsi="Arial" w:cs="Arial"/>
          <w:spacing w:val="8"/>
          <w:sz w:val="20"/>
          <w:szCs w:val="20"/>
        </w:rPr>
        <w:t xml:space="preserve"> </w:t>
      </w:r>
      <w:r w:rsidRPr="00BB0936">
        <w:rPr>
          <w:rFonts w:ascii="Arial" w:eastAsia="Times New Roman" w:hAnsi="Arial" w:cs="Arial"/>
          <w:b/>
          <w:bCs/>
          <w:spacing w:val="8"/>
          <w:sz w:val="20"/>
          <w:szCs w:val="20"/>
        </w:rPr>
        <w:t>(Ajouté par le décret n° 94-51 du 10 Janvier 1994)</w:t>
      </w:r>
    </w:p>
    <w:p w14:paraId="62299165" w14:textId="77777777" w:rsidR="00BB0936" w:rsidRPr="00BB0936" w:rsidRDefault="00BB0936" w:rsidP="00BB0936">
      <w:pPr>
        <w:widowControl w:val="0"/>
        <w:numPr>
          <w:ilvl w:val="0"/>
          <w:numId w:val="33"/>
        </w:numPr>
        <w:kinsoku w:val="0"/>
        <w:overflowPunct w:val="0"/>
        <w:spacing w:before="100" w:beforeAutospacing="1" w:after="0" w:line="240" w:lineRule="auto"/>
        <w:ind w:left="1494"/>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Les magistrats civils :</w:t>
      </w:r>
    </w:p>
    <w:p w14:paraId="6FBBB212" w14:textId="77777777" w:rsidR="00BB0936" w:rsidRPr="00BB0936" w:rsidRDefault="00BB0936" w:rsidP="00BB0936">
      <w:pPr>
        <w:widowControl w:val="0"/>
        <w:numPr>
          <w:ilvl w:val="0"/>
          <w:numId w:val="32"/>
        </w:numPr>
        <w:kinsoku w:val="0"/>
        <w:overflowPunct w:val="0"/>
        <w:spacing w:before="100" w:beforeAutospacing="1" w:after="0" w:line="240" w:lineRule="auto"/>
        <w:ind w:left="1494"/>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Le président du tribunal militaire permanent de Tunis (en temps de paix);</w:t>
      </w:r>
    </w:p>
    <w:p w14:paraId="0EAB4957" w14:textId="77777777" w:rsidR="00BB0936" w:rsidRPr="00BB0936" w:rsidRDefault="00BB0936" w:rsidP="00BB0936">
      <w:pPr>
        <w:widowControl w:val="0"/>
        <w:numPr>
          <w:ilvl w:val="0"/>
          <w:numId w:val="32"/>
        </w:numPr>
        <w:kinsoku w:val="0"/>
        <w:overflowPunct w:val="0"/>
        <w:spacing w:before="100" w:beforeAutospacing="1" w:after="0" w:line="240" w:lineRule="auto"/>
        <w:ind w:left="1494"/>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Président de chambre près du tribunal militaire permanent (en temps de paix) ;</w:t>
      </w:r>
    </w:p>
    <w:p w14:paraId="5C293830" w14:textId="77777777" w:rsidR="00BB0936" w:rsidRPr="00BB0936" w:rsidRDefault="00BB0936" w:rsidP="00BB0936">
      <w:pPr>
        <w:widowControl w:val="0"/>
        <w:numPr>
          <w:ilvl w:val="0"/>
          <w:numId w:val="32"/>
        </w:numPr>
        <w:kinsoku w:val="0"/>
        <w:overflowPunct w:val="0"/>
        <w:spacing w:before="100" w:beforeAutospacing="1" w:after="0" w:line="240" w:lineRule="auto"/>
        <w:ind w:left="1494"/>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Président du tribunal militaire permanent autre que Tunis (en temps de paix);</w:t>
      </w:r>
    </w:p>
    <w:p w14:paraId="345D825F" w14:textId="77777777" w:rsidR="00BB0936" w:rsidRPr="00BB0936" w:rsidRDefault="00BB0936" w:rsidP="00BB0936">
      <w:pPr>
        <w:widowControl w:val="0"/>
        <w:numPr>
          <w:ilvl w:val="0"/>
          <w:numId w:val="32"/>
        </w:numPr>
        <w:kinsoku w:val="0"/>
        <w:overflowPunct w:val="0"/>
        <w:spacing w:before="100" w:beforeAutospacing="1" w:after="0" w:line="240" w:lineRule="auto"/>
        <w:ind w:left="1494"/>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Président suppléant du tribunal militaire permanent autre que Tunis (en temps de paix).</w:t>
      </w:r>
    </w:p>
    <w:p w14:paraId="025F56CC" w14:textId="77777777" w:rsidR="00BB0936" w:rsidRPr="00BB0936" w:rsidRDefault="00BB0936" w:rsidP="00BB0936">
      <w:pPr>
        <w:widowControl w:val="0"/>
        <w:kinsoku w:val="0"/>
        <w:overflowPunct w:val="0"/>
        <w:spacing w:before="100" w:beforeAutospacing="1" w:after="100" w:afterAutospacing="1"/>
        <w:ind w:left="283"/>
        <w:jc w:val="both"/>
        <w:textAlignment w:val="baseline"/>
        <w:rPr>
          <w:rFonts w:ascii="Arial" w:eastAsia="Times New Roman" w:hAnsi="Arial" w:cs="Arial"/>
          <w:b/>
          <w:bCs/>
          <w:i/>
          <w:iCs/>
          <w:spacing w:val="5"/>
          <w:sz w:val="20"/>
          <w:szCs w:val="20"/>
        </w:rPr>
      </w:pPr>
      <w:r w:rsidRPr="00BB0936">
        <w:rPr>
          <w:rFonts w:ascii="Arial" w:eastAsia="Times New Roman" w:hAnsi="Arial" w:cs="Arial"/>
          <w:b/>
          <w:bCs/>
          <w:i/>
          <w:iCs/>
          <w:spacing w:val="5"/>
          <w:sz w:val="20"/>
          <w:szCs w:val="20"/>
        </w:rPr>
        <w:t xml:space="preserve">Art. 2 – </w:t>
      </w:r>
      <w:r w:rsidRPr="00BB0936">
        <w:rPr>
          <w:rFonts w:ascii="Arial" w:eastAsia="Times New Roman" w:hAnsi="Arial" w:cs="Arial"/>
          <w:b/>
          <w:bCs/>
          <w:spacing w:val="5"/>
          <w:sz w:val="20"/>
          <w:szCs w:val="20"/>
        </w:rPr>
        <w:t>Modifié par le décret n° 94-51 du 10 Janvier 1994 –</w:t>
      </w:r>
      <w:r w:rsidRPr="00BB0936">
        <w:rPr>
          <w:rFonts w:ascii="Arial" w:eastAsia="Times New Roman" w:hAnsi="Arial" w:cs="Arial"/>
          <w:b/>
          <w:bCs/>
          <w:i/>
          <w:iCs/>
          <w:spacing w:val="5"/>
          <w:sz w:val="20"/>
          <w:szCs w:val="20"/>
        </w:rPr>
        <w:t xml:space="preserve"> </w:t>
      </w:r>
      <w:r w:rsidRPr="00BB0936">
        <w:rPr>
          <w:rFonts w:ascii="Arial" w:eastAsia="Times New Roman" w:hAnsi="Arial" w:cs="Arial"/>
          <w:spacing w:val="5"/>
          <w:sz w:val="20"/>
          <w:szCs w:val="20"/>
        </w:rPr>
        <w:t>Les indemnités et avantages accordés aux magistrats exerçant les fonctions énumérées à l'article premier ci-dessus sont les mêmes indemnités et avantages attachés aux grades et fonctions des magistrats de l'ordre judiciaire, conformément aux indications du tableau de concordance ci-après :</w:t>
      </w:r>
    </w:p>
    <w:tbl>
      <w:tblPr>
        <w:tblStyle w:val="Grilledutableau3"/>
        <w:tblW w:w="0" w:type="auto"/>
        <w:tblInd w:w="392" w:type="dxa"/>
        <w:tblLook w:val="04A0" w:firstRow="1" w:lastRow="0" w:firstColumn="1" w:lastColumn="0" w:noHBand="0" w:noVBand="1"/>
      </w:tblPr>
      <w:tblGrid>
        <w:gridCol w:w="3401"/>
        <w:gridCol w:w="1134"/>
        <w:gridCol w:w="2834"/>
        <w:gridCol w:w="2091"/>
      </w:tblGrid>
      <w:tr w:rsidR="00BB0936" w:rsidRPr="00BB0936" w14:paraId="4F33F034" w14:textId="77777777" w:rsidTr="00045867">
        <w:tc>
          <w:tcPr>
            <w:tcW w:w="3402" w:type="dxa"/>
            <w:vMerge w:val="restart"/>
            <w:vAlign w:val="center"/>
          </w:tcPr>
          <w:p w14:paraId="1E91933F" w14:textId="77777777" w:rsidR="00BB0936" w:rsidRPr="00BB0936" w:rsidRDefault="00BB0936" w:rsidP="00BB0936">
            <w:pPr>
              <w:widowControl w:val="0"/>
              <w:kinsoku w:val="0"/>
              <w:overflowPunct w:val="0"/>
              <w:spacing w:after="0"/>
              <w:ind w:right="72"/>
              <w:jc w:val="center"/>
              <w:textAlignment w:val="baseline"/>
              <w:rPr>
                <w:rFonts w:ascii="Arial" w:eastAsia="Times New Roman" w:hAnsi="Arial" w:cs="Arial"/>
                <w:b/>
                <w:bCs/>
                <w:spacing w:val="5"/>
                <w:sz w:val="20"/>
                <w:szCs w:val="20"/>
              </w:rPr>
            </w:pPr>
            <w:r w:rsidRPr="00BB0936">
              <w:rPr>
                <w:rFonts w:ascii="Arial" w:eastAsia="Times New Roman" w:hAnsi="Arial" w:cs="Arial"/>
                <w:b/>
                <w:bCs/>
                <w:spacing w:val="5"/>
                <w:sz w:val="20"/>
                <w:szCs w:val="20"/>
              </w:rPr>
              <w:t>Fonction de la justice militaire</w:t>
            </w:r>
          </w:p>
        </w:tc>
        <w:tc>
          <w:tcPr>
            <w:tcW w:w="3969" w:type="dxa"/>
            <w:gridSpan w:val="2"/>
            <w:vAlign w:val="center"/>
          </w:tcPr>
          <w:p w14:paraId="51CAA823" w14:textId="77777777" w:rsidR="00BB0936" w:rsidRPr="00BB0936" w:rsidRDefault="00BB0936" w:rsidP="00BB0936">
            <w:pPr>
              <w:widowControl w:val="0"/>
              <w:kinsoku w:val="0"/>
              <w:overflowPunct w:val="0"/>
              <w:spacing w:after="0"/>
              <w:ind w:right="72"/>
              <w:jc w:val="center"/>
              <w:textAlignment w:val="baseline"/>
              <w:rPr>
                <w:rFonts w:ascii="Arial" w:eastAsia="Times New Roman" w:hAnsi="Arial" w:cs="Arial"/>
                <w:b/>
                <w:bCs/>
                <w:spacing w:val="5"/>
                <w:sz w:val="20"/>
                <w:szCs w:val="20"/>
              </w:rPr>
            </w:pPr>
            <w:r w:rsidRPr="00BB0936">
              <w:rPr>
                <w:rFonts w:ascii="Arial" w:eastAsia="Times New Roman" w:hAnsi="Arial" w:cs="Arial"/>
                <w:b/>
                <w:bCs/>
                <w:spacing w:val="5"/>
                <w:sz w:val="20"/>
                <w:szCs w:val="20"/>
              </w:rPr>
              <w:t>Grade et fonctions équivalents des magistrats de l’ordre judiciaire</w:t>
            </w:r>
          </w:p>
        </w:tc>
        <w:tc>
          <w:tcPr>
            <w:tcW w:w="2091" w:type="dxa"/>
            <w:vMerge w:val="restart"/>
            <w:vAlign w:val="center"/>
          </w:tcPr>
          <w:p w14:paraId="66A125CC" w14:textId="77777777" w:rsidR="00BB0936" w:rsidRPr="00BB0936" w:rsidRDefault="00BB0936" w:rsidP="00BB0936">
            <w:pPr>
              <w:widowControl w:val="0"/>
              <w:kinsoku w:val="0"/>
              <w:overflowPunct w:val="0"/>
              <w:spacing w:after="0"/>
              <w:ind w:right="72"/>
              <w:jc w:val="center"/>
              <w:textAlignment w:val="baseline"/>
              <w:rPr>
                <w:rFonts w:ascii="Arial" w:eastAsia="Times New Roman" w:hAnsi="Arial" w:cs="Arial"/>
                <w:b/>
                <w:bCs/>
                <w:spacing w:val="5"/>
                <w:sz w:val="20"/>
                <w:szCs w:val="20"/>
              </w:rPr>
            </w:pPr>
            <w:r w:rsidRPr="00BB0936">
              <w:rPr>
                <w:rFonts w:ascii="Arial" w:eastAsia="Times New Roman" w:hAnsi="Arial" w:cs="Arial"/>
                <w:b/>
                <w:bCs/>
                <w:spacing w:val="5"/>
                <w:sz w:val="20"/>
                <w:szCs w:val="20"/>
              </w:rPr>
              <w:t>Observations</w:t>
            </w:r>
          </w:p>
        </w:tc>
      </w:tr>
      <w:tr w:rsidR="00BB0936" w:rsidRPr="00BB0936" w14:paraId="557520EC" w14:textId="77777777" w:rsidTr="00045867">
        <w:tc>
          <w:tcPr>
            <w:tcW w:w="3402" w:type="dxa"/>
            <w:vMerge/>
          </w:tcPr>
          <w:p w14:paraId="1692E6B7"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p>
        </w:tc>
        <w:tc>
          <w:tcPr>
            <w:tcW w:w="1134" w:type="dxa"/>
            <w:vAlign w:val="center"/>
          </w:tcPr>
          <w:p w14:paraId="1CA9BC92" w14:textId="77777777" w:rsidR="00BB0936" w:rsidRPr="00BB0936" w:rsidRDefault="00BB0936" w:rsidP="00BB0936">
            <w:pPr>
              <w:widowControl w:val="0"/>
              <w:kinsoku w:val="0"/>
              <w:overflowPunct w:val="0"/>
              <w:spacing w:after="0"/>
              <w:ind w:right="72"/>
              <w:jc w:val="center"/>
              <w:textAlignment w:val="baseline"/>
              <w:rPr>
                <w:rFonts w:ascii="Arial" w:eastAsia="Times New Roman" w:hAnsi="Arial" w:cs="Arial"/>
                <w:b/>
                <w:bCs/>
                <w:spacing w:val="5"/>
                <w:sz w:val="20"/>
                <w:szCs w:val="20"/>
              </w:rPr>
            </w:pPr>
            <w:r w:rsidRPr="00BB0936">
              <w:rPr>
                <w:rFonts w:ascii="Arial" w:eastAsia="Times New Roman" w:hAnsi="Arial" w:cs="Arial"/>
                <w:b/>
                <w:bCs/>
                <w:spacing w:val="5"/>
                <w:sz w:val="20"/>
                <w:szCs w:val="20"/>
              </w:rPr>
              <w:t>Grade</w:t>
            </w:r>
          </w:p>
        </w:tc>
        <w:tc>
          <w:tcPr>
            <w:tcW w:w="2835" w:type="dxa"/>
            <w:vAlign w:val="center"/>
          </w:tcPr>
          <w:p w14:paraId="36B3E875" w14:textId="77777777" w:rsidR="00BB0936" w:rsidRPr="00BB0936" w:rsidRDefault="00BB0936" w:rsidP="00BB0936">
            <w:pPr>
              <w:widowControl w:val="0"/>
              <w:kinsoku w:val="0"/>
              <w:overflowPunct w:val="0"/>
              <w:spacing w:after="0"/>
              <w:ind w:right="72"/>
              <w:jc w:val="center"/>
              <w:textAlignment w:val="baseline"/>
              <w:rPr>
                <w:rFonts w:ascii="Arial" w:eastAsia="Times New Roman" w:hAnsi="Arial" w:cs="Arial"/>
                <w:b/>
                <w:bCs/>
                <w:spacing w:val="5"/>
                <w:sz w:val="20"/>
                <w:szCs w:val="20"/>
              </w:rPr>
            </w:pPr>
            <w:r w:rsidRPr="00BB0936">
              <w:rPr>
                <w:rFonts w:ascii="Arial" w:eastAsia="Times New Roman" w:hAnsi="Arial" w:cs="Arial"/>
                <w:b/>
                <w:bCs/>
                <w:spacing w:val="5"/>
                <w:sz w:val="20"/>
                <w:szCs w:val="20"/>
              </w:rPr>
              <w:t>Fonction</w:t>
            </w:r>
          </w:p>
        </w:tc>
        <w:tc>
          <w:tcPr>
            <w:tcW w:w="2091" w:type="dxa"/>
            <w:vMerge/>
          </w:tcPr>
          <w:p w14:paraId="2EE9ABEB"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p>
        </w:tc>
      </w:tr>
      <w:tr w:rsidR="00BB0936" w:rsidRPr="00BB0936" w14:paraId="5377EE15" w14:textId="77777777" w:rsidTr="00045867">
        <w:tc>
          <w:tcPr>
            <w:tcW w:w="3402" w:type="dxa"/>
            <w:tcBorders>
              <w:bottom w:val="single" w:sz="4" w:space="0" w:color="auto"/>
            </w:tcBorders>
          </w:tcPr>
          <w:p w14:paraId="097CF3AD"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Procureur Général Directeur de la Justice Militaire</w:t>
            </w:r>
          </w:p>
        </w:tc>
        <w:tc>
          <w:tcPr>
            <w:tcW w:w="1134" w:type="dxa"/>
            <w:tcBorders>
              <w:bottom w:val="single" w:sz="4" w:space="0" w:color="auto"/>
            </w:tcBorders>
            <w:vAlign w:val="center"/>
          </w:tcPr>
          <w:p w14:paraId="199CE394" w14:textId="77777777" w:rsidR="00BB0936" w:rsidRPr="00BB0936" w:rsidRDefault="00BB0936" w:rsidP="00BB0936">
            <w:pPr>
              <w:widowControl w:val="0"/>
              <w:kinsoku w:val="0"/>
              <w:overflowPunct w:val="0"/>
              <w:spacing w:after="0"/>
              <w:ind w:right="72"/>
              <w:jc w:val="center"/>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3</w:t>
            </w:r>
            <w:r w:rsidRPr="00BB0936">
              <w:rPr>
                <w:rFonts w:ascii="Arial" w:eastAsia="Times New Roman" w:hAnsi="Arial" w:cs="Arial"/>
                <w:spacing w:val="5"/>
                <w:sz w:val="20"/>
                <w:szCs w:val="20"/>
                <w:vertAlign w:val="superscript"/>
              </w:rPr>
              <w:t>ème</w:t>
            </w:r>
          </w:p>
        </w:tc>
        <w:tc>
          <w:tcPr>
            <w:tcW w:w="2835" w:type="dxa"/>
            <w:tcBorders>
              <w:bottom w:val="single" w:sz="4" w:space="0" w:color="auto"/>
            </w:tcBorders>
            <w:vAlign w:val="center"/>
          </w:tcPr>
          <w:p w14:paraId="32D3734B"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Procureur Général près de la Cour d’Appel de Tunis</w:t>
            </w:r>
          </w:p>
        </w:tc>
        <w:tc>
          <w:tcPr>
            <w:tcW w:w="2091" w:type="dxa"/>
            <w:tcBorders>
              <w:bottom w:val="single" w:sz="4" w:space="0" w:color="auto"/>
            </w:tcBorders>
          </w:tcPr>
          <w:p w14:paraId="74FAC581"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p>
        </w:tc>
      </w:tr>
      <w:tr w:rsidR="00BB0936" w:rsidRPr="00BB0936" w14:paraId="239F45AE" w14:textId="77777777" w:rsidTr="00045867">
        <w:tc>
          <w:tcPr>
            <w:tcW w:w="3402" w:type="dxa"/>
            <w:tcBorders>
              <w:bottom w:val="nil"/>
            </w:tcBorders>
          </w:tcPr>
          <w:p w14:paraId="3AF57E03"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Président du Tribunal militaire (en temps de guerre)</w:t>
            </w:r>
          </w:p>
        </w:tc>
        <w:tc>
          <w:tcPr>
            <w:tcW w:w="1134" w:type="dxa"/>
            <w:tcBorders>
              <w:bottom w:val="nil"/>
            </w:tcBorders>
            <w:vAlign w:val="center"/>
          </w:tcPr>
          <w:p w14:paraId="76EFFF85" w14:textId="77777777" w:rsidR="00BB0936" w:rsidRPr="00BB0936" w:rsidRDefault="00BB0936" w:rsidP="00BB0936">
            <w:pPr>
              <w:widowControl w:val="0"/>
              <w:kinsoku w:val="0"/>
              <w:overflowPunct w:val="0"/>
              <w:spacing w:after="0"/>
              <w:ind w:right="72"/>
              <w:jc w:val="center"/>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3</w:t>
            </w:r>
            <w:r w:rsidRPr="00BB0936">
              <w:rPr>
                <w:rFonts w:ascii="Arial" w:eastAsia="Times New Roman" w:hAnsi="Arial" w:cs="Arial"/>
                <w:spacing w:val="5"/>
                <w:sz w:val="20"/>
                <w:szCs w:val="20"/>
                <w:vertAlign w:val="superscript"/>
              </w:rPr>
              <w:t>ème</w:t>
            </w:r>
          </w:p>
        </w:tc>
        <w:tc>
          <w:tcPr>
            <w:tcW w:w="2835" w:type="dxa"/>
            <w:tcBorders>
              <w:bottom w:val="nil"/>
            </w:tcBorders>
            <w:vAlign w:val="center"/>
          </w:tcPr>
          <w:p w14:paraId="702A87A0"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Premier Président de la Cour d’Appel</w:t>
            </w:r>
          </w:p>
        </w:tc>
        <w:tc>
          <w:tcPr>
            <w:tcW w:w="2091" w:type="dxa"/>
            <w:tcBorders>
              <w:bottom w:val="nil"/>
            </w:tcBorders>
          </w:tcPr>
          <w:p w14:paraId="2AA1FE23"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p>
        </w:tc>
      </w:tr>
      <w:tr w:rsidR="00BB0936" w:rsidRPr="00BB0936" w14:paraId="4C1370D5" w14:textId="77777777" w:rsidTr="00045867">
        <w:tc>
          <w:tcPr>
            <w:tcW w:w="3402" w:type="dxa"/>
            <w:tcBorders>
              <w:top w:val="nil"/>
              <w:bottom w:val="nil"/>
            </w:tcBorders>
          </w:tcPr>
          <w:p w14:paraId="3040EA32"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Président du Tribunal militaire permanent (en temps de paix)</w:t>
            </w:r>
          </w:p>
        </w:tc>
        <w:tc>
          <w:tcPr>
            <w:tcW w:w="1134" w:type="dxa"/>
            <w:tcBorders>
              <w:top w:val="nil"/>
              <w:bottom w:val="nil"/>
            </w:tcBorders>
            <w:vAlign w:val="center"/>
          </w:tcPr>
          <w:p w14:paraId="45654CAA" w14:textId="77777777" w:rsidR="00BB0936" w:rsidRPr="00BB0936" w:rsidRDefault="00BB0936" w:rsidP="00BB0936">
            <w:pPr>
              <w:widowControl w:val="0"/>
              <w:kinsoku w:val="0"/>
              <w:overflowPunct w:val="0"/>
              <w:spacing w:after="0"/>
              <w:ind w:right="72"/>
              <w:jc w:val="center"/>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3</w:t>
            </w:r>
            <w:r w:rsidRPr="00BB0936">
              <w:rPr>
                <w:rFonts w:ascii="Arial" w:eastAsia="Times New Roman" w:hAnsi="Arial" w:cs="Arial"/>
                <w:spacing w:val="5"/>
                <w:sz w:val="20"/>
                <w:szCs w:val="20"/>
                <w:vertAlign w:val="superscript"/>
              </w:rPr>
              <w:t>ème</w:t>
            </w:r>
          </w:p>
        </w:tc>
        <w:tc>
          <w:tcPr>
            <w:tcW w:w="2835" w:type="dxa"/>
            <w:tcBorders>
              <w:top w:val="nil"/>
              <w:bottom w:val="nil"/>
            </w:tcBorders>
            <w:vAlign w:val="center"/>
          </w:tcPr>
          <w:p w14:paraId="5A3B010E"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Premier Président de la Cour d’Appel (1)</w:t>
            </w:r>
          </w:p>
        </w:tc>
        <w:tc>
          <w:tcPr>
            <w:tcW w:w="2091" w:type="dxa"/>
            <w:tcBorders>
              <w:top w:val="nil"/>
              <w:bottom w:val="nil"/>
            </w:tcBorders>
          </w:tcPr>
          <w:p w14:paraId="24A4541F" w14:textId="77777777" w:rsidR="00BB0936" w:rsidRPr="00BB0936" w:rsidRDefault="00BB0936" w:rsidP="00BB0936">
            <w:pPr>
              <w:widowControl w:val="0"/>
              <w:numPr>
                <w:ilvl w:val="0"/>
                <w:numId w:val="31"/>
              </w:numPr>
              <w:kinsoku w:val="0"/>
              <w:overflowPunct w:val="0"/>
              <w:spacing w:after="0" w:line="240" w:lineRule="auto"/>
              <w:ind w:right="72"/>
              <w:jc w:val="both"/>
              <w:textAlignment w:val="baseline"/>
              <w:rPr>
                <w:rFonts w:ascii="Arial" w:eastAsia="Times New Roman" w:hAnsi="Arial" w:cs="Arial"/>
                <w:spacing w:val="5"/>
                <w:sz w:val="20"/>
                <w:szCs w:val="20"/>
              </w:rPr>
            </w:pPr>
          </w:p>
          <w:p w14:paraId="4F3C0187"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Le suppléant doit être du même grade que le Président titulaire et jouit des avantages correspondants à sa fonction pendant la période de son intérim la partie d’un mois est considérée comme un mois entier</w:t>
            </w:r>
          </w:p>
        </w:tc>
      </w:tr>
      <w:tr w:rsidR="00BB0936" w:rsidRPr="00BB0936" w14:paraId="6702B28A" w14:textId="77777777" w:rsidTr="00045867">
        <w:tc>
          <w:tcPr>
            <w:tcW w:w="3402" w:type="dxa"/>
            <w:tcBorders>
              <w:top w:val="nil"/>
              <w:bottom w:val="nil"/>
            </w:tcBorders>
          </w:tcPr>
          <w:p w14:paraId="20DC7E96"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Commissaire de Gouvernement près du Tribunal militaire permanent de Tunis</w:t>
            </w:r>
          </w:p>
        </w:tc>
        <w:tc>
          <w:tcPr>
            <w:tcW w:w="1134" w:type="dxa"/>
            <w:tcBorders>
              <w:top w:val="nil"/>
              <w:bottom w:val="nil"/>
            </w:tcBorders>
            <w:vAlign w:val="center"/>
          </w:tcPr>
          <w:p w14:paraId="45F106DA" w14:textId="77777777" w:rsidR="00BB0936" w:rsidRPr="00BB0936" w:rsidRDefault="00BB0936" w:rsidP="00BB0936">
            <w:pPr>
              <w:widowControl w:val="0"/>
              <w:kinsoku w:val="0"/>
              <w:overflowPunct w:val="0"/>
              <w:spacing w:after="0"/>
              <w:ind w:right="72"/>
              <w:jc w:val="center"/>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3</w:t>
            </w:r>
            <w:r w:rsidRPr="00BB0936">
              <w:rPr>
                <w:rFonts w:ascii="Arial" w:eastAsia="Times New Roman" w:hAnsi="Arial" w:cs="Arial"/>
                <w:spacing w:val="5"/>
                <w:sz w:val="20"/>
                <w:szCs w:val="20"/>
                <w:vertAlign w:val="superscript"/>
              </w:rPr>
              <w:t>ème</w:t>
            </w:r>
          </w:p>
        </w:tc>
        <w:tc>
          <w:tcPr>
            <w:tcW w:w="2835" w:type="dxa"/>
            <w:tcBorders>
              <w:top w:val="nil"/>
              <w:bottom w:val="nil"/>
            </w:tcBorders>
            <w:vAlign w:val="center"/>
          </w:tcPr>
          <w:p w14:paraId="4AA0A22D"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Procureur Général près d’une cour d’Appel</w:t>
            </w:r>
          </w:p>
        </w:tc>
        <w:tc>
          <w:tcPr>
            <w:tcW w:w="2091" w:type="dxa"/>
            <w:tcBorders>
              <w:top w:val="nil"/>
              <w:bottom w:val="nil"/>
            </w:tcBorders>
          </w:tcPr>
          <w:p w14:paraId="0F7A6F0B"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p>
        </w:tc>
      </w:tr>
      <w:tr w:rsidR="00BB0936" w:rsidRPr="00BB0936" w14:paraId="0D17A873" w14:textId="77777777" w:rsidTr="00045867">
        <w:tc>
          <w:tcPr>
            <w:tcW w:w="3402" w:type="dxa"/>
            <w:tcBorders>
              <w:top w:val="nil"/>
              <w:bottom w:val="single" w:sz="4" w:space="0" w:color="auto"/>
            </w:tcBorders>
          </w:tcPr>
          <w:p w14:paraId="6D884527"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Premier substitut du Procureur Général Directeur de la Justice Militaire</w:t>
            </w:r>
          </w:p>
        </w:tc>
        <w:tc>
          <w:tcPr>
            <w:tcW w:w="1134" w:type="dxa"/>
            <w:tcBorders>
              <w:top w:val="nil"/>
              <w:bottom w:val="single" w:sz="4" w:space="0" w:color="auto"/>
            </w:tcBorders>
            <w:vAlign w:val="center"/>
          </w:tcPr>
          <w:p w14:paraId="1FD1CE06" w14:textId="77777777" w:rsidR="00BB0936" w:rsidRPr="00BB0936" w:rsidRDefault="00BB0936" w:rsidP="00BB0936">
            <w:pPr>
              <w:widowControl w:val="0"/>
              <w:kinsoku w:val="0"/>
              <w:overflowPunct w:val="0"/>
              <w:spacing w:after="0"/>
              <w:ind w:right="72"/>
              <w:jc w:val="center"/>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3</w:t>
            </w:r>
            <w:r w:rsidRPr="00BB0936">
              <w:rPr>
                <w:rFonts w:ascii="Arial" w:eastAsia="Times New Roman" w:hAnsi="Arial" w:cs="Arial"/>
                <w:spacing w:val="5"/>
                <w:sz w:val="20"/>
                <w:szCs w:val="20"/>
                <w:vertAlign w:val="superscript"/>
              </w:rPr>
              <w:t>ème</w:t>
            </w:r>
          </w:p>
        </w:tc>
        <w:tc>
          <w:tcPr>
            <w:tcW w:w="2835" w:type="dxa"/>
            <w:tcBorders>
              <w:top w:val="nil"/>
              <w:bottom w:val="single" w:sz="4" w:space="0" w:color="auto"/>
            </w:tcBorders>
            <w:vAlign w:val="center"/>
          </w:tcPr>
          <w:p w14:paraId="4ED98263"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Premier substitut du Procureur Général Directeur des Services Judiciaires</w:t>
            </w:r>
          </w:p>
        </w:tc>
        <w:tc>
          <w:tcPr>
            <w:tcW w:w="2091" w:type="dxa"/>
            <w:tcBorders>
              <w:top w:val="nil"/>
              <w:bottom w:val="single" w:sz="4" w:space="0" w:color="auto"/>
            </w:tcBorders>
          </w:tcPr>
          <w:p w14:paraId="096BF160"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p>
        </w:tc>
      </w:tr>
      <w:tr w:rsidR="00BB0936" w:rsidRPr="00BB0936" w14:paraId="748A0CF6" w14:textId="77777777" w:rsidTr="00045867">
        <w:tc>
          <w:tcPr>
            <w:tcW w:w="3402" w:type="dxa"/>
            <w:tcBorders>
              <w:bottom w:val="nil"/>
            </w:tcBorders>
          </w:tcPr>
          <w:p w14:paraId="5FA5FC92"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Président de chambre près du Tribunal militaire permanent (en temps de paix)</w:t>
            </w:r>
          </w:p>
        </w:tc>
        <w:tc>
          <w:tcPr>
            <w:tcW w:w="1134" w:type="dxa"/>
            <w:tcBorders>
              <w:bottom w:val="nil"/>
            </w:tcBorders>
            <w:vAlign w:val="center"/>
          </w:tcPr>
          <w:p w14:paraId="7DD76119" w14:textId="77777777" w:rsidR="00BB0936" w:rsidRPr="00BB0936" w:rsidRDefault="00BB0936" w:rsidP="00BB0936">
            <w:pPr>
              <w:widowControl w:val="0"/>
              <w:kinsoku w:val="0"/>
              <w:overflowPunct w:val="0"/>
              <w:spacing w:after="0"/>
              <w:ind w:right="72"/>
              <w:jc w:val="center"/>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3</w:t>
            </w:r>
            <w:r w:rsidRPr="00BB0936">
              <w:rPr>
                <w:rFonts w:ascii="Arial" w:eastAsia="Times New Roman" w:hAnsi="Arial" w:cs="Arial"/>
                <w:spacing w:val="5"/>
                <w:sz w:val="20"/>
                <w:szCs w:val="20"/>
                <w:vertAlign w:val="superscript"/>
              </w:rPr>
              <w:t>ème</w:t>
            </w:r>
          </w:p>
        </w:tc>
        <w:tc>
          <w:tcPr>
            <w:tcW w:w="2835" w:type="dxa"/>
            <w:tcBorders>
              <w:bottom w:val="nil"/>
            </w:tcBorders>
            <w:vAlign w:val="center"/>
          </w:tcPr>
          <w:p w14:paraId="4AB50A25"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Président de chambre près de la Cour d’Appel</w:t>
            </w:r>
          </w:p>
        </w:tc>
        <w:tc>
          <w:tcPr>
            <w:tcW w:w="2091" w:type="dxa"/>
            <w:tcBorders>
              <w:bottom w:val="nil"/>
            </w:tcBorders>
          </w:tcPr>
          <w:p w14:paraId="1E531645"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p>
        </w:tc>
      </w:tr>
      <w:tr w:rsidR="00BB0936" w:rsidRPr="00BB0936" w14:paraId="5A0A1743" w14:textId="77777777" w:rsidTr="00045867">
        <w:tc>
          <w:tcPr>
            <w:tcW w:w="3402" w:type="dxa"/>
            <w:tcBorders>
              <w:top w:val="nil"/>
              <w:bottom w:val="nil"/>
            </w:tcBorders>
          </w:tcPr>
          <w:p w14:paraId="6F202689"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Président du Tribunal militaire permanent autre que Tunis (en temps de paix)</w:t>
            </w:r>
          </w:p>
        </w:tc>
        <w:tc>
          <w:tcPr>
            <w:tcW w:w="1134" w:type="dxa"/>
            <w:tcBorders>
              <w:top w:val="nil"/>
              <w:bottom w:val="nil"/>
            </w:tcBorders>
            <w:vAlign w:val="center"/>
          </w:tcPr>
          <w:p w14:paraId="3F7348A3" w14:textId="77777777" w:rsidR="00BB0936" w:rsidRPr="00BB0936" w:rsidRDefault="00BB0936" w:rsidP="00BB0936">
            <w:pPr>
              <w:widowControl w:val="0"/>
              <w:kinsoku w:val="0"/>
              <w:overflowPunct w:val="0"/>
              <w:spacing w:after="0"/>
              <w:ind w:right="72"/>
              <w:jc w:val="center"/>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3</w:t>
            </w:r>
            <w:r w:rsidRPr="00BB0936">
              <w:rPr>
                <w:rFonts w:ascii="Arial" w:eastAsia="Times New Roman" w:hAnsi="Arial" w:cs="Arial"/>
                <w:spacing w:val="5"/>
                <w:sz w:val="20"/>
                <w:szCs w:val="20"/>
                <w:vertAlign w:val="superscript"/>
              </w:rPr>
              <w:t>ème</w:t>
            </w:r>
          </w:p>
        </w:tc>
        <w:tc>
          <w:tcPr>
            <w:tcW w:w="2835" w:type="dxa"/>
            <w:tcBorders>
              <w:top w:val="nil"/>
              <w:bottom w:val="nil"/>
            </w:tcBorders>
            <w:vAlign w:val="center"/>
          </w:tcPr>
          <w:p w14:paraId="44B65A39"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Président de chambre près de la Cour d’Appel (1)</w:t>
            </w:r>
          </w:p>
        </w:tc>
        <w:tc>
          <w:tcPr>
            <w:tcW w:w="2091" w:type="dxa"/>
            <w:tcBorders>
              <w:top w:val="nil"/>
              <w:bottom w:val="nil"/>
            </w:tcBorders>
          </w:tcPr>
          <w:p w14:paraId="22B021B6"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p>
        </w:tc>
      </w:tr>
      <w:tr w:rsidR="00BB0936" w:rsidRPr="00BB0936" w14:paraId="0B26D2EF" w14:textId="77777777" w:rsidTr="00045867">
        <w:tc>
          <w:tcPr>
            <w:tcW w:w="3402" w:type="dxa"/>
            <w:tcBorders>
              <w:top w:val="nil"/>
              <w:bottom w:val="nil"/>
            </w:tcBorders>
          </w:tcPr>
          <w:p w14:paraId="502B3E81"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Suppléant du Président du Tribunal militaire permanent autre que Tunis (en temps de paix)</w:t>
            </w:r>
          </w:p>
        </w:tc>
        <w:tc>
          <w:tcPr>
            <w:tcW w:w="1134" w:type="dxa"/>
            <w:tcBorders>
              <w:top w:val="nil"/>
              <w:bottom w:val="nil"/>
            </w:tcBorders>
            <w:vAlign w:val="center"/>
          </w:tcPr>
          <w:p w14:paraId="2609BA8C" w14:textId="77777777" w:rsidR="00BB0936" w:rsidRPr="00BB0936" w:rsidRDefault="00BB0936" w:rsidP="00BB0936">
            <w:pPr>
              <w:widowControl w:val="0"/>
              <w:kinsoku w:val="0"/>
              <w:overflowPunct w:val="0"/>
              <w:spacing w:after="0"/>
              <w:ind w:right="72"/>
              <w:jc w:val="center"/>
              <w:textAlignment w:val="baseline"/>
              <w:rPr>
                <w:rFonts w:ascii="Arial" w:eastAsia="Times New Roman" w:hAnsi="Arial" w:cs="Arial"/>
                <w:spacing w:val="5"/>
                <w:sz w:val="20"/>
                <w:szCs w:val="20"/>
              </w:rPr>
            </w:pPr>
          </w:p>
        </w:tc>
        <w:tc>
          <w:tcPr>
            <w:tcW w:w="2835" w:type="dxa"/>
            <w:tcBorders>
              <w:top w:val="nil"/>
              <w:bottom w:val="nil"/>
            </w:tcBorders>
            <w:vAlign w:val="center"/>
          </w:tcPr>
          <w:p w14:paraId="5E4664F9"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Président de chambre près de la Cour d’Appel (1)</w:t>
            </w:r>
          </w:p>
        </w:tc>
        <w:tc>
          <w:tcPr>
            <w:tcW w:w="2091" w:type="dxa"/>
            <w:tcBorders>
              <w:top w:val="nil"/>
              <w:bottom w:val="nil"/>
            </w:tcBorders>
          </w:tcPr>
          <w:p w14:paraId="4D9C95AC"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p>
        </w:tc>
      </w:tr>
      <w:tr w:rsidR="00BB0936" w:rsidRPr="00BB0936" w14:paraId="157F4DDC" w14:textId="77777777" w:rsidTr="00045867">
        <w:tc>
          <w:tcPr>
            <w:tcW w:w="3402" w:type="dxa"/>
            <w:tcBorders>
              <w:top w:val="nil"/>
              <w:bottom w:val="single" w:sz="4" w:space="0" w:color="auto"/>
            </w:tcBorders>
          </w:tcPr>
          <w:p w14:paraId="6B76E06E"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 xml:space="preserve">Commissaire de Gouvernement près du Tribunal militaire permanent autre que Tunis </w:t>
            </w:r>
          </w:p>
        </w:tc>
        <w:tc>
          <w:tcPr>
            <w:tcW w:w="1134" w:type="dxa"/>
            <w:tcBorders>
              <w:top w:val="nil"/>
              <w:bottom w:val="single" w:sz="4" w:space="0" w:color="auto"/>
            </w:tcBorders>
            <w:vAlign w:val="center"/>
          </w:tcPr>
          <w:p w14:paraId="4A8CD259" w14:textId="77777777" w:rsidR="00BB0936" w:rsidRPr="00BB0936" w:rsidRDefault="00BB0936" w:rsidP="00BB0936">
            <w:pPr>
              <w:widowControl w:val="0"/>
              <w:kinsoku w:val="0"/>
              <w:overflowPunct w:val="0"/>
              <w:spacing w:after="0"/>
              <w:ind w:right="72"/>
              <w:jc w:val="center"/>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3</w:t>
            </w:r>
            <w:r w:rsidRPr="00BB0936">
              <w:rPr>
                <w:rFonts w:ascii="Arial" w:eastAsia="Times New Roman" w:hAnsi="Arial" w:cs="Arial"/>
                <w:spacing w:val="5"/>
                <w:sz w:val="20"/>
                <w:szCs w:val="20"/>
                <w:vertAlign w:val="superscript"/>
              </w:rPr>
              <w:t>ème</w:t>
            </w:r>
          </w:p>
        </w:tc>
        <w:tc>
          <w:tcPr>
            <w:tcW w:w="2835" w:type="dxa"/>
            <w:tcBorders>
              <w:top w:val="nil"/>
              <w:bottom w:val="single" w:sz="4" w:space="0" w:color="auto"/>
            </w:tcBorders>
            <w:vAlign w:val="center"/>
          </w:tcPr>
          <w:p w14:paraId="176E79E0"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Président de chambre près de la Cour d’Appel</w:t>
            </w:r>
          </w:p>
        </w:tc>
        <w:tc>
          <w:tcPr>
            <w:tcW w:w="2091" w:type="dxa"/>
            <w:tcBorders>
              <w:top w:val="nil"/>
              <w:bottom w:val="single" w:sz="4" w:space="0" w:color="auto"/>
            </w:tcBorders>
          </w:tcPr>
          <w:p w14:paraId="04463C2D"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p>
        </w:tc>
      </w:tr>
      <w:tr w:rsidR="00BB0936" w:rsidRPr="00BB0936" w14:paraId="53751352" w14:textId="77777777" w:rsidTr="00045867">
        <w:tc>
          <w:tcPr>
            <w:tcW w:w="3402" w:type="dxa"/>
            <w:tcBorders>
              <w:bottom w:val="nil"/>
            </w:tcBorders>
          </w:tcPr>
          <w:p w14:paraId="4FDABDA6"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Premier substitut du Commissaire de Gouvernement près du Tribunal militaire permanent de Tunis</w:t>
            </w:r>
          </w:p>
        </w:tc>
        <w:tc>
          <w:tcPr>
            <w:tcW w:w="1134" w:type="dxa"/>
            <w:tcBorders>
              <w:bottom w:val="nil"/>
            </w:tcBorders>
            <w:vAlign w:val="center"/>
          </w:tcPr>
          <w:p w14:paraId="15AA6326" w14:textId="77777777" w:rsidR="00BB0936" w:rsidRPr="00BB0936" w:rsidRDefault="00BB0936" w:rsidP="00BB0936">
            <w:pPr>
              <w:widowControl w:val="0"/>
              <w:kinsoku w:val="0"/>
              <w:overflowPunct w:val="0"/>
              <w:spacing w:after="0"/>
              <w:ind w:right="72"/>
              <w:jc w:val="center"/>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3</w:t>
            </w:r>
            <w:r w:rsidRPr="00BB0936">
              <w:rPr>
                <w:rFonts w:ascii="Arial" w:eastAsia="Times New Roman" w:hAnsi="Arial" w:cs="Arial"/>
                <w:spacing w:val="5"/>
                <w:sz w:val="20"/>
                <w:szCs w:val="20"/>
                <w:vertAlign w:val="superscript"/>
              </w:rPr>
              <w:t>ème</w:t>
            </w:r>
          </w:p>
        </w:tc>
        <w:tc>
          <w:tcPr>
            <w:tcW w:w="2835" w:type="dxa"/>
            <w:tcBorders>
              <w:bottom w:val="nil"/>
            </w:tcBorders>
            <w:vAlign w:val="center"/>
          </w:tcPr>
          <w:p w14:paraId="44AA541D"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Président de chambre près de la Cour d’Appel</w:t>
            </w:r>
          </w:p>
        </w:tc>
        <w:tc>
          <w:tcPr>
            <w:tcW w:w="2091" w:type="dxa"/>
            <w:tcBorders>
              <w:bottom w:val="nil"/>
            </w:tcBorders>
          </w:tcPr>
          <w:p w14:paraId="5569B5EC"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p>
        </w:tc>
      </w:tr>
      <w:tr w:rsidR="00BB0936" w:rsidRPr="00BB0936" w14:paraId="44B756B2" w14:textId="77777777" w:rsidTr="00045867">
        <w:tc>
          <w:tcPr>
            <w:tcW w:w="3402" w:type="dxa"/>
            <w:tcBorders>
              <w:top w:val="nil"/>
            </w:tcBorders>
          </w:tcPr>
          <w:p w14:paraId="4D7322E8"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Substitut du Procureur Général Directeur de la Justice Militaire</w:t>
            </w:r>
          </w:p>
        </w:tc>
        <w:tc>
          <w:tcPr>
            <w:tcW w:w="1134" w:type="dxa"/>
            <w:tcBorders>
              <w:top w:val="nil"/>
            </w:tcBorders>
            <w:vAlign w:val="center"/>
          </w:tcPr>
          <w:p w14:paraId="550EEA42" w14:textId="77777777" w:rsidR="00BB0936" w:rsidRPr="00BB0936" w:rsidRDefault="00BB0936" w:rsidP="00BB0936">
            <w:pPr>
              <w:widowControl w:val="0"/>
              <w:kinsoku w:val="0"/>
              <w:overflowPunct w:val="0"/>
              <w:spacing w:after="0"/>
              <w:ind w:right="72"/>
              <w:jc w:val="center"/>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3</w:t>
            </w:r>
            <w:r w:rsidRPr="00BB0936">
              <w:rPr>
                <w:rFonts w:ascii="Arial" w:eastAsia="Times New Roman" w:hAnsi="Arial" w:cs="Arial"/>
                <w:spacing w:val="5"/>
                <w:sz w:val="20"/>
                <w:szCs w:val="20"/>
                <w:vertAlign w:val="superscript"/>
              </w:rPr>
              <w:t>ème</w:t>
            </w:r>
          </w:p>
        </w:tc>
        <w:tc>
          <w:tcPr>
            <w:tcW w:w="2835" w:type="dxa"/>
            <w:tcBorders>
              <w:top w:val="nil"/>
            </w:tcBorders>
            <w:vAlign w:val="center"/>
          </w:tcPr>
          <w:p w14:paraId="383DC6DC"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Président de chambre près de la Cour d’Appel</w:t>
            </w:r>
          </w:p>
        </w:tc>
        <w:tc>
          <w:tcPr>
            <w:tcW w:w="2091" w:type="dxa"/>
            <w:tcBorders>
              <w:top w:val="nil"/>
            </w:tcBorders>
          </w:tcPr>
          <w:p w14:paraId="3502BA71"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p>
        </w:tc>
      </w:tr>
      <w:tr w:rsidR="00BB0936" w:rsidRPr="00BB0936" w14:paraId="7673E752" w14:textId="77777777" w:rsidTr="00045867">
        <w:tc>
          <w:tcPr>
            <w:tcW w:w="3402" w:type="dxa"/>
          </w:tcPr>
          <w:p w14:paraId="4885B5BE"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Premier substitut du Commissaire de Gouvernement près du Tribunal militaire permanent autre que Tunis</w:t>
            </w:r>
          </w:p>
        </w:tc>
        <w:tc>
          <w:tcPr>
            <w:tcW w:w="1134" w:type="dxa"/>
            <w:vAlign w:val="center"/>
          </w:tcPr>
          <w:p w14:paraId="4C9A1403" w14:textId="77777777" w:rsidR="00BB0936" w:rsidRPr="00BB0936" w:rsidRDefault="00BB0936" w:rsidP="00BB0936">
            <w:pPr>
              <w:widowControl w:val="0"/>
              <w:kinsoku w:val="0"/>
              <w:overflowPunct w:val="0"/>
              <w:spacing w:after="0"/>
              <w:ind w:right="72"/>
              <w:jc w:val="center"/>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2</w:t>
            </w:r>
            <w:r w:rsidRPr="00BB0936">
              <w:rPr>
                <w:rFonts w:ascii="Arial" w:eastAsia="Times New Roman" w:hAnsi="Arial" w:cs="Arial"/>
                <w:spacing w:val="5"/>
                <w:sz w:val="20"/>
                <w:szCs w:val="20"/>
                <w:vertAlign w:val="superscript"/>
              </w:rPr>
              <w:t>ème</w:t>
            </w:r>
          </w:p>
        </w:tc>
        <w:tc>
          <w:tcPr>
            <w:tcW w:w="2835" w:type="dxa"/>
            <w:vAlign w:val="center"/>
          </w:tcPr>
          <w:p w14:paraId="4DFE96B3"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Premier Juge d’Instruction</w:t>
            </w:r>
          </w:p>
        </w:tc>
        <w:tc>
          <w:tcPr>
            <w:tcW w:w="2091" w:type="dxa"/>
          </w:tcPr>
          <w:p w14:paraId="3AE8222D"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p>
        </w:tc>
      </w:tr>
      <w:tr w:rsidR="00BB0936" w:rsidRPr="00BB0936" w14:paraId="7A8ED635" w14:textId="77777777" w:rsidTr="00045867">
        <w:tc>
          <w:tcPr>
            <w:tcW w:w="3402" w:type="dxa"/>
          </w:tcPr>
          <w:p w14:paraId="577E1FDC"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Premier Juge d’Instruction près du Tribunal permanent</w:t>
            </w:r>
          </w:p>
        </w:tc>
        <w:tc>
          <w:tcPr>
            <w:tcW w:w="1134" w:type="dxa"/>
            <w:vAlign w:val="center"/>
          </w:tcPr>
          <w:p w14:paraId="1C992A7E" w14:textId="77777777" w:rsidR="00BB0936" w:rsidRPr="00BB0936" w:rsidRDefault="00BB0936" w:rsidP="00BB0936">
            <w:pPr>
              <w:widowControl w:val="0"/>
              <w:kinsoku w:val="0"/>
              <w:overflowPunct w:val="0"/>
              <w:spacing w:after="0"/>
              <w:ind w:right="72"/>
              <w:jc w:val="center"/>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2</w:t>
            </w:r>
            <w:r w:rsidRPr="00BB0936">
              <w:rPr>
                <w:rFonts w:ascii="Arial" w:eastAsia="Times New Roman" w:hAnsi="Arial" w:cs="Arial"/>
                <w:spacing w:val="5"/>
                <w:sz w:val="20"/>
                <w:szCs w:val="20"/>
                <w:vertAlign w:val="superscript"/>
              </w:rPr>
              <w:t>ème</w:t>
            </w:r>
          </w:p>
        </w:tc>
        <w:tc>
          <w:tcPr>
            <w:tcW w:w="2835" w:type="dxa"/>
            <w:vAlign w:val="center"/>
          </w:tcPr>
          <w:p w14:paraId="3AFFE902"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Juge d’Instruction</w:t>
            </w:r>
          </w:p>
        </w:tc>
        <w:tc>
          <w:tcPr>
            <w:tcW w:w="2091" w:type="dxa"/>
          </w:tcPr>
          <w:p w14:paraId="069AC547"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p>
        </w:tc>
      </w:tr>
      <w:tr w:rsidR="00BB0936" w:rsidRPr="00BB0936" w14:paraId="0528FCB7" w14:textId="77777777" w:rsidTr="00045867">
        <w:tc>
          <w:tcPr>
            <w:tcW w:w="3402" w:type="dxa"/>
          </w:tcPr>
          <w:p w14:paraId="54BCAFE8"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Substitut du Commissaire de Gouvernement près du Tribunal militaire permanent</w:t>
            </w:r>
          </w:p>
        </w:tc>
        <w:tc>
          <w:tcPr>
            <w:tcW w:w="1134" w:type="dxa"/>
            <w:vAlign w:val="center"/>
          </w:tcPr>
          <w:p w14:paraId="65B52C79" w14:textId="77777777" w:rsidR="00BB0936" w:rsidRPr="00BB0936" w:rsidRDefault="00BB0936" w:rsidP="00BB0936">
            <w:pPr>
              <w:widowControl w:val="0"/>
              <w:kinsoku w:val="0"/>
              <w:overflowPunct w:val="0"/>
              <w:spacing w:after="0"/>
              <w:ind w:right="72"/>
              <w:jc w:val="center"/>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1</w:t>
            </w:r>
            <w:r w:rsidRPr="00BB0936">
              <w:rPr>
                <w:rFonts w:ascii="Arial" w:eastAsia="Times New Roman" w:hAnsi="Arial" w:cs="Arial"/>
                <w:spacing w:val="5"/>
                <w:sz w:val="20"/>
                <w:szCs w:val="20"/>
                <w:vertAlign w:val="superscript"/>
              </w:rPr>
              <w:t>er</w:t>
            </w:r>
          </w:p>
        </w:tc>
        <w:tc>
          <w:tcPr>
            <w:tcW w:w="2835" w:type="dxa"/>
            <w:vAlign w:val="center"/>
          </w:tcPr>
          <w:p w14:paraId="72780BF3"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Substitut du Procureur de la République près du Tribunal de Première Instance</w:t>
            </w:r>
          </w:p>
        </w:tc>
        <w:tc>
          <w:tcPr>
            <w:tcW w:w="2091" w:type="dxa"/>
          </w:tcPr>
          <w:p w14:paraId="026F5BFF"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p>
        </w:tc>
      </w:tr>
      <w:tr w:rsidR="00BB0936" w:rsidRPr="00BB0936" w14:paraId="10518440" w14:textId="77777777" w:rsidTr="00045867">
        <w:tc>
          <w:tcPr>
            <w:tcW w:w="3402" w:type="dxa"/>
          </w:tcPr>
          <w:p w14:paraId="10739901"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Juge Rapporteur</w:t>
            </w:r>
          </w:p>
        </w:tc>
        <w:tc>
          <w:tcPr>
            <w:tcW w:w="1134" w:type="dxa"/>
            <w:vAlign w:val="center"/>
          </w:tcPr>
          <w:p w14:paraId="3DC17F65" w14:textId="77777777" w:rsidR="00BB0936" w:rsidRPr="00BB0936" w:rsidRDefault="00BB0936" w:rsidP="00BB0936">
            <w:pPr>
              <w:widowControl w:val="0"/>
              <w:kinsoku w:val="0"/>
              <w:overflowPunct w:val="0"/>
              <w:spacing w:after="0"/>
              <w:ind w:right="72"/>
              <w:jc w:val="center"/>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1</w:t>
            </w:r>
            <w:r w:rsidRPr="00BB0936">
              <w:rPr>
                <w:rFonts w:ascii="Arial" w:eastAsia="Times New Roman" w:hAnsi="Arial" w:cs="Arial"/>
                <w:spacing w:val="5"/>
                <w:sz w:val="20"/>
                <w:szCs w:val="20"/>
                <w:vertAlign w:val="superscript"/>
              </w:rPr>
              <w:t>er</w:t>
            </w:r>
          </w:p>
        </w:tc>
        <w:tc>
          <w:tcPr>
            <w:tcW w:w="2835" w:type="dxa"/>
            <w:vAlign w:val="center"/>
          </w:tcPr>
          <w:p w14:paraId="43411536"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Juge de 1</w:t>
            </w:r>
            <w:r w:rsidRPr="00BB0936">
              <w:rPr>
                <w:rFonts w:ascii="Arial" w:eastAsia="Times New Roman" w:hAnsi="Arial" w:cs="Arial"/>
                <w:spacing w:val="5"/>
                <w:sz w:val="20"/>
                <w:szCs w:val="20"/>
                <w:vertAlign w:val="superscript"/>
              </w:rPr>
              <w:t>er</w:t>
            </w:r>
            <w:r w:rsidRPr="00BB0936">
              <w:rPr>
                <w:rFonts w:ascii="Arial" w:eastAsia="Times New Roman" w:hAnsi="Arial" w:cs="Arial"/>
                <w:spacing w:val="5"/>
                <w:sz w:val="20"/>
                <w:szCs w:val="20"/>
              </w:rPr>
              <w:t xml:space="preserve"> grade</w:t>
            </w:r>
          </w:p>
        </w:tc>
        <w:tc>
          <w:tcPr>
            <w:tcW w:w="2091" w:type="dxa"/>
          </w:tcPr>
          <w:p w14:paraId="32D77FE0"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p>
        </w:tc>
      </w:tr>
      <w:tr w:rsidR="00BB0936" w:rsidRPr="00BB0936" w14:paraId="608E3F5D" w14:textId="77777777" w:rsidTr="00045867">
        <w:tc>
          <w:tcPr>
            <w:tcW w:w="3402" w:type="dxa"/>
          </w:tcPr>
          <w:p w14:paraId="224B56DB"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Juge unique</w:t>
            </w:r>
          </w:p>
        </w:tc>
        <w:tc>
          <w:tcPr>
            <w:tcW w:w="1134" w:type="dxa"/>
            <w:vAlign w:val="center"/>
          </w:tcPr>
          <w:p w14:paraId="3F4FCD99" w14:textId="77777777" w:rsidR="00BB0936" w:rsidRPr="00BB0936" w:rsidRDefault="00BB0936" w:rsidP="00BB0936">
            <w:pPr>
              <w:widowControl w:val="0"/>
              <w:kinsoku w:val="0"/>
              <w:overflowPunct w:val="0"/>
              <w:spacing w:after="0"/>
              <w:ind w:right="72"/>
              <w:jc w:val="center"/>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2</w:t>
            </w:r>
            <w:r w:rsidRPr="00BB0936">
              <w:rPr>
                <w:rFonts w:ascii="Arial" w:eastAsia="Times New Roman" w:hAnsi="Arial" w:cs="Arial"/>
                <w:spacing w:val="5"/>
                <w:sz w:val="20"/>
                <w:szCs w:val="20"/>
                <w:vertAlign w:val="superscript"/>
              </w:rPr>
              <w:t>ème</w:t>
            </w:r>
            <w:r w:rsidRPr="00BB0936">
              <w:rPr>
                <w:rFonts w:ascii="Arial" w:eastAsia="Times New Roman" w:hAnsi="Arial" w:cs="Arial"/>
                <w:spacing w:val="5"/>
                <w:sz w:val="20"/>
                <w:szCs w:val="20"/>
              </w:rPr>
              <w:t xml:space="preserve"> </w:t>
            </w:r>
          </w:p>
        </w:tc>
        <w:tc>
          <w:tcPr>
            <w:tcW w:w="2835" w:type="dxa"/>
            <w:vAlign w:val="center"/>
          </w:tcPr>
          <w:p w14:paraId="738F4FB4"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Président du tribunal cantonal</w:t>
            </w:r>
          </w:p>
        </w:tc>
        <w:tc>
          <w:tcPr>
            <w:tcW w:w="2091" w:type="dxa"/>
          </w:tcPr>
          <w:p w14:paraId="5BF1A686" w14:textId="77777777" w:rsidR="00BB0936" w:rsidRPr="00BB0936" w:rsidRDefault="00BB0936" w:rsidP="00BB0936">
            <w:pPr>
              <w:widowControl w:val="0"/>
              <w:kinsoku w:val="0"/>
              <w:overflowPunct w:val="0"/>
              <w:spacing w:after="0"/>
              <w:ind w:right="72"/>
              <w:jc w:val="both"/>
              <w:textAlignment w:val="baseline"/>
              <w:rPr>
                <w:rFonts w:ascii="Arial" w:eastAsia="Times New Roman" w:hAnsi="Arial" w:cs="Arial"/>
                <w:spacing w:val="5"/>
                <w:sz w:val="20"/>
                <w:szCs w:val="20"/>
              </w:rPr>
            </w:pPr>
          </w:p>
        </w:tc>
      </w:tr>
    </w:tbl>
    <w:p w14:paraId="4C21C713" w14:textId="77777777" w:rsidR="00BB0936" w:rsidRPr="00BB0936" w:rsidRDefault="00BB0936" w:rsidP="00BB0936">
      <w:pPr>
        <w:widowControl w:val="0"/>
        <w:kinsoku w:val="0"/>
        <w:overflowPunct w:val="0"/>
        <w:spacing w:before="100" w:beforeAutospacing="1" w:after="0"/>
        <w:ind w:left="283"/>
        <w:jc w:val="both"/>
        <w:textAlignment w:val="baseline"/>
        <w:rPr>
          <w:rFonts w:ascii="Arial" w:eastAsia="Calibri" w:hAnsi="Arial" w:cs="Arial"/>
          <w:color w:val="000000"/>
          <w:sz w:val="20"/>
          <w:szCs w:val="20"/>
          <w:lang w:eastAsia="en-US"/>
        </w:rPr>
      </w:pPr>
      <w:r w:rsidRPr="00BB0936">
        <w:rPr>
          <w:rFonts w:ascii="Arial" w:eastAsia="Calibri" w:hAnsi="Arial" w:cs="Arial"/>
          <w:color w:val="000000"/>
          <w:sz w:val="20"/>
          <w:szCs w:val="20"/>
          <w:lang w:eastAsia="en-US"/>
        </w:rPr>
        <w:t xml:space="preserve">En plus de ce qui est indiqué au tableau ci-dessus : </w:t>
      </w:r>
    </w:p>
    <w:p w14:paraId="46DEFA25" w14:textId="77777777" w:rsidR="00BB0936" w:rsidRPr="00BB0936" w:rsidRDefault="00BB0936" w:rsidP="00BB0936">
      <w:pPr>
        <w:widowControl w:val="0"/>
        <w:numPr>
          <w:ilvl w:val="0"/>
          <w:numId w:val="32"/>
        </w:numPr>
        <w:kinsoku w:val="0"/>
        <w:overflowPunct w:val="0"/>
        <w:spacing w:before="100" w:beforeAutospacing="1" w:after="0" w:line="240" w:lineRule="auto"/>
        <w:ind w:left="1494"/>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Le 2ème grade de l'ordre judiciaire et la fonction d'un conseiller à une cour d'appel sont accordés aux magistrats militaires officiers supérieurs.</w:t>
      </w:r>
    </w:p>
    <w:p w14:paraId="732F39E6" w14:textId="77777777" w:rsidR="00BB0936" w:rsidRPr="00BB0936" w:rsidRDefault="00BB0936" w:rsidP="00BB0936">
      <w:pPr>
        <w:widowControl w:val="0"/>
        <w:numPr>
          <w:ilvl w:val="0"/>
          <w:numId w:val="32"/>
        </w:numPr>
        <w:kinsoku w:val="0"/>
        <w:overflowPunct w:val="0"/>
        <w:spacing w:before="100" w:beforeAutospacing="1" w:after="0" w:line="240" w:lineRule="auto"/>
        <w:ind w:left="1494"/>
        <w:jc w:val="both"/>
        <w:textAlignment w:val="baseline"/>
        <w:rPr>
          <w:rFonts w:ascii="Arial" w:eastAsia="Times New Roman" w:hAnsi="Arial" w:cs="Arial"/>
          <w:spacing w:val="5"/>
          <w:sz w:val="20"/>
          <w:szCs w:val="20"/>
        </w:rPr>
      </w:pPr>
      <w:r w:rsidRPr="00BB0936">
        <w:rPr>
          <w:rFonts w:ascii="Arial" w:eastAsia="Times New Roman" w:hAnsi="Arial" w:cs="Arial"/>
          <w:spacing w:val="5"/>
          <w:sz w:val="20"/>
          <w:szCs w:val="20"/>
        </w:rPr>
        <w:t>Le 3ème grade de l'ordre judiciaire et la fonction de conseiller à la cour de cassation sont accordés aux magistrats dont le grade est égal ou supérieur à celui de colonel.</w:t>
      </w:r>
    </w:p>
    <w:p w14:paraId="75CD324C" w14:textId="77777777" w:rsidR="00BB0936" w:rsidRPr="00BB0936" w:rsidRDefault="00BB0936" w:rsidP="00BB0936">
      <w:pPr>
        <w:widowControl w:val="0"/>
        <w:kinsoku w:val="0"/>
        <w:overflowPunct w:val="0"/>
        <w:spacing w:before="100" w:beforeAutospacing="1" w:after="100" w:afterAutospacing="1"/>
        <w:ind w:left="283"/>
        <w:jc w:val="both"/>
        <w:textAlignment w:val="baseline"/>
        <w:rPr>
          <w:rFonts w:ascii="Arial" w:eastAsia="Calibri" w:hAnsi="Arial" w:cs="Arial"/>
          <w:color w:val="000000"/>
          <w:sz w:val="20"/>
          <w:szCs w:val="20"/>
          <w:lang w:eastAsia="en-US"/>
        </w:rPr>
      </w:pPr>
      <w:r w:rsidRPr="00BB0936">
        <w:rPr>
          <w:rFonts w:ascii="Arial" w:eastAsia="Times New Roman" w:hAnsi="Arial" w:cs="Arial"/>
          <w:b/>
          <w:bCs/>
          <w:i/>
          <w:iCs/>
          <w:spacing w:val="8"/>
          <w:sz w:val="20"/>
          <w:szCs w:val="20"/>
        </w:rPr>
        <w:t xml:space="preserve">Art. 3 – </w:t>
      </w:r>
      <w:r w:rsidRPr="00BB0936">
        <w:rPr>
          <w:rFonts w:ascii="Arial" w:eastAsia="Times New Roman" w:hAnsi="Arial" w:cs="Arial"/>
          <w:b/>
          <w:bCs/>
          <w:spacing w:val="8"/>
          <w:sz w:val="20"/>
          <w:szCs w:val="20"/>
        </w:rPr>
        <w:t>Modifié par le décret n° 94-51 du 10 Janvier 1994 –</w:t>
      </w:r>
      <w:r w:rsidRPr="00BB0936">
        <w:rPr>
          <w:rFonts w:ascii="Arial" w:eastAsia="Times New Roman" w:hAnsi="Arial" w:cs="Arial"/>
          <w:b/>
          <w:bCs/>
          <w:i/>
          <w:iCs/>
          <w:spacing w:val="8"/>
          <w:sz w:val="20"/>
          <w:szCs w:val="20"/>
        </w:rPr>
        <w:t xml:space="preserve"> </w:t>
      </w:r>
      <w:r w:rsidRPr="00BB0936">
        <w:rPr>
          <w:rFonts w:ascii="Arial" w:eastAsia="Calibri" w:hAnsi="Arial" w:cs="Arial"/>
          <w:color w:val="000000"/>
          <w:sz w:val="20"/>
          <w:szCs w:val="20"/>
          <w:lang w:eastAsia="en-US"/>
        </w:rPr>
        <w:t>Les conditions minima exigées pour l'attribution des fonctions prévues à l'article premier A sont fixées ainsi qu'il suit :</w:t>
      </w:r>
    </w:p>
    <w:tbl>
      <w:tblPr>
        <w:tblStyle w:val="Grilledutableau3"/>
        <w:tblW w:w="0" w:type="auto"/>
        <w:tblInd w:w="392" w:type="dxa"/>
        <w:tblLook w:val="04A0" w:firstRow="1" w:lastRow="0" w:firstColumn="1" w:lastColumn="0" w:noHBand="0" w:noVBand="1"/>
      </w:tblPr>
      <w:tblGrid>
        <w:gridCol w:w="3826"/>
        <w:gridCol w:w="5634"/>
      </w:tblGrid>
      <w:tr w:rsidR="00BB0936" w:rsidRPr="00BB0936" w14:paraId="4C652428" w14:textId="77777777" w:rsidTr="00045867">
        <w:tc>
          <w:tcPr>
            <w:tcW w:w="3827" w:type="dxa"/>
            <w:vAlign w:val="center"/>
          </w:tcPr>
          <w:p w14:paraId="5C0F96A7" w14:textId="77777777" w:rsidR="00BB0936" w:rsidRPr="00BB0936" w:rsidRDefault="00BB0936" w:rsidP="00BB0936">
            <w:pPr>
              <w:widowControl w:val="0"/>
              <w:kinsoku w:val="0"/>
              <w:overflowPunct w:val="0"/>
              <w:spacing w:after="0"/>
              <w:textAlignment w:val="baseline"/>
              <w:rPr>
                <w:rFonts w:ascii="Arial" w:eastAsia="Times New Roman" w:hAnsi="Arial" w:cs="Arial"/>
                <w:b/>
                <w:bCs/>
                <w:spacing w:val="8"/>
                <w:sz w:val="20"/>
                <w:szCs w:val="20"/>
              </w:rPr>
            </w:pPr>
            <w:r w:rsidRPr="00BB0936">
              <w:rPr>
                <w:rFonts w:ascii="Arial" w:eastAsia="Times New Roman" w:hAnsi="Arial" w:cs="Arial"/>
                <w:b/>
                <w:bCs/>
                <w:spacing w:val="8"/>
                <w:sz w:val="20"/>
                <w:szCs w:val="20"/>
              </w:rPr>
              <w:t>FONCTIONS</w:t>
            </w:r>
          </w:p>
        </w:tc>
        <w:tc>
          <w:tcPr>
            <w:tcW w:w="5635" w:type="dxa"/>
            <w:vAlign w:val="center"/>
          </w:tcPr>
          <w:p w14:paraId="5D13670C" w14:textId="77777777" w:rsidR="00BB0936" w:rsidRPr="00BB0936" w:rsidRDefault="00BB0936" w:rsidP="00BB0936">
            <w:pPr>
              <w:widowControl w:val="0"/>
              <w:kinsoku w:val="0"/>
              <w:overflowPunct w:val="0"/>
              <w:spacing w:after="0"/>
              <w:jc w:val="center"/>
              <w:textAlignment w:val="baseline"/>
              <w:rPr>
                <w:rFonts w:ascii="Arial" w:eastAsia="Times New Roman" w:hAnsi="Arial" w:cs="Arial"/>
                <w:b/>
                <w:bCs/>
                <w:spacing w:val="8"/>
                <w:sz w:val="20"/>
                <w:szCs w:val="20"/>
              </w:rPr>
            </w:pPr>
            <w:r w:rsidRPr="00BB0936">
              <w:rPr>
                <w:rFonts w:ascii="Arial" w:eastAsia="Times New Roman" w:hAnsi="Arial" w:cs="Arial"/>
                <w:b/>
                <w:bCs/>
                <w:spacing w:val="8"/>
                <w:sz w:val="20"/>
                <w:szCs w:val="20"/>
              </w:rPr>
              <w:t>Conditions minimales exigées</w:t>
            </w:r>
          </w:p>
        </w:tc>
      </w:tr>
      <w:tr w:rsidR="00BB0936" w:rsidRPr="00BB0936" w14:paraId="3D97B6B1" w14:textId="77777777" w:rsidTr="00045867">
        <w:tc>
          <w:tcPr>
            <w:tcW w:w="3827" w:type="dxa"/>
            <w:tcBorders>
              <w:bottom w:val="single" w:sz="4" w:space="0" w:color="auto"/>
            </w:tcBorders>
            <w:vAlign w:val="center"/>
          </w:tcPr>
          <w:p w14:paraId="5F28E27A" w14:textId="77777777" w:rsidR="00BB0936" w:rsidRPr="00BB0936" w:rsidRDefault="00BB0936" w:rsidP="00BB0936">
            <w:pPr>
              <w:widowControl w:val="0"/>
              <w:kinsoku w:val="0"/>
              <w:overflowPunct w:val="0"/>
              <w:spacing w:after="0"/>
              <w:jc w:val="both"/>
              <w:textAlignment w:val="baseline"/>
              <w:rPr>
                <w:rFonts w:ascii="Arial" w:eastAsia="Calibri" w:hAnsi="Arial" w:cs="Arial"/>
                <w:color w:val="000000"/>
                <w:sz w:val="20"/>
                <w:szCs w:val="20"/>
                <w:lang w:eastAsia="en-US"/>
              </w:rPr>
            </w:pPr>
            <w:r w:rsidRPr="00BB0936">
              <w:rPr>
                <w:rFonts w:ascii="Arial" w:eastAsia="Calibri" w:hAnsi="Arial" w:cs="Arial"/>
                <w:color w:val="000000"/>
                <w:sz w:val="20"/>
                <w:szCs w:val="20"/>
                <w:lang w:eastAsia="en-US"/>
              </w:rPr>
              <w:t>Procureur Général Directeur de la Justice Militaire</w:t>
            </w:r>
          </w:p>
        </w:tc>
        <w:tc>
          <w:tcPr>
            <w:tcW w:w="5635" w:type="dxa"/>
            <w:tcBorders>
              <w:bottom w:val="single" w:sz="4" w:space="0" w:color="auto"/>
            </w:tcBorders>
          </w:tcPr>
          <w:p w14:paraId="3E855B41" w14:textId="77777777" w:rsidR="00BB0936" w:rsidRPr="00BB0936" w:rsidRDefault="00BB0936" w:rsidP="00BB0936">
            <w:pPr>
              <w:widowControl w:val="0"/>
              <w:kinsoku w:val="0"/>
              <w:overflowPunct w:val="0"/>
              <w:spacing w:after="0"/>
              <w:jc w:val="both"/>
              <w:textAlignment w:val="baseline"/>
              <w:rPr>
                <w:rFonts w:ascii="Arial" w:eastAsia="Calibri" w:hAnsi="Arial" w:cs="Arial"/>
                <w:color w:val="000000"/>
                <w:sz w:val="20"/>
                <w:szCs w:val="20"/>
                <w:lang w:eastAsia="en-US"/>
              </w:rPr>
            </w:pPr>
            <w:r w:rsidRPr="00BB0936">
              <w:rPr>
                <w:rFonts w:ascii="Arial" w:eastAsia="Calibri" w:hAnsi="Arial" w:cs="Arial"/>
                <w:color w:val="000000"/>
                <w:sz w:val="20"/>
                <w:szCs w:val="20"/>
                <w:lang w:eastAsia="en-US"/>
              </w:rPr>
              <w:t>Général de brigade du corps des officiers de la justice militaire</w:t>
            </w:r>
          </w:p>
          <w:p w14:paraId="1D0AACE6" w14:textId="77777777" w:rsidR="00BB0936" w:rsidRPr="00BB0936" w:rsidRDefault="00BB0936" w:rsidP="00BB0936">
            <w:pPr>
              <w:widowControl w:val="0"/>
              <w:kinsoku w:val="0"/>
              <w:overflowPunct w:val="0"/>
              <w:spacing w:after="0"/>
              <w:jc w:val="both"/>
              <w:textAlignment w:val="baseline"/>
              <w:rPr>
                <w:rFonts w:ascii="Arial" w:eastAsia="Calibri" w:hAnsi="Arial" w:cs="Arial"/>
                <w:color w:val="000000"/>
                <w:sz w:val="20"/>
                <w:szCs w:val="20"/>
                <w:lang w:eastAsia="en-US"/>
              </w:rPr>
            </w:pPr>
            <w:r w:rsidRPr="00BB0936">
              <w:rPr>
                <w:rFonts w:ascii="Arial" w:eastAsia="Calibri" w:hAnsi="Arial" w:cs="Arial"/>
                <w:color w:val="000000"/>
                <w:sz w:val="20"/>
                <w:szCs w:val="20"/>
                <w:lang w:eastAsia="en-US"/>
              </w:rPr>
              <w:t>Ou un colonel du corps des officiers de la justice militaire ayant cinq ans d'ancienneté dans ce grade</w:t>
            </w:r>
          </w:p>
        </w:tc>
      </w:tr>
      <w:tr w:rsidR="00BB0936" w:rsidRPr="00BB0936" w14:paraId="41873923" w14:textId="77777777" w:rsidTr="00045867">
        <w:tc>
          <w:tcPr>
            <w:tcW w:w="3827" w:type="dxa"/>
            <w:tcBorders>
              <w:bottom w:val="nil"/>
            </w:tcBorders>
            <w:vAlign w:val="center"/>
          </w:tcPr>
          <w:p w14:paraId="0048748E" w14:textId="77777777" w:rsidR="00BB0936" w:rsidRPr="00BB0936" w:rsidRDefault="00BB0936" w:rsidP="00BB0936">
            <w:pPr>
              <w:widowControl w:val="0"/>
              <w:kinsoku w:val="0"/>
              <w:overflowPunct w:val="0"/>
              <w:spacing w:after="0"/>
              <w:jc w:val="both"/>
              <w:textAlignment w:val="baseline"/>
              <w:rPr>
                <w:rFonts w:ascii="Arial" w:eastAsia="Calibri" w:hAnsi="Arial" w:cs="Arial"/>
                <w:color w:val="000000"/>
                <w:sz w:val="20"/>
                <w:szCs w:val="20"/>
                <w:lang w:eastAsia="en-US"/>
              </w:rPr>
            </w:pPr>
            <w:r w:rsidRPr="00BB0936">
              <w:rPr>
                <w:rFonts w:ascii="Arial" w:eastAsia="Calibri" w:hAnsi="Arial" w:cs="Arial"/>
                <w:color w:val="000000"/>
                <w:sz w:val="20"/>
                <w:szCs w:val="20"/>
                <w:lang w:eastAsia="en-US"/>
              </w:rPr>
              <w:t>Commissaire de Gouvernement près du Tribunal militaire permanent de Tunis</w:t>
            </w:r>
          </w:p>
        </w:tc>
        <w:tc>
          <w:tcPr>
            <w:tcW w:w="5635" w:type="dxa"/>
            <w:tcBorders>
              <w:bottom w:val="nil"/>
            </w:tcBorders>
          </w:tcPr>
          <w:p w14:paraId="76AC0D4D" w14:textId="77777777" w:rsidR="00BB0936" w:rsidRPr="00BB0936" w:rsidRDefault="00BB0936" w:rsidP="00BB0936">
            <w:pPr>
              <w:widowControl w:val="0"/>
              <w:kinsoku w:val="0"/>
              <w:overflowPunct w:val="0"/>
              <w:spacing w:after="0"/>
              <w:jc w:val="both"/>
              <w:textAlignment w:val="baseline"/>
              <w:rPr>
                <w:rFonts w:ascii="Arial" w:eastAsia="Calibri" w:hAnsi="Arial" w:cs="Arial"/>
                <w:color w:val="000000"/>
                <w:sz w:val="20"/>
                <w:szCs w:val="20"/>
                <w:lang w:eastAsia="en-US"/>
              </w:rPr>
            </w:pPr>
            <w:r w:rsidRPr="00BB0936">
              <w:rPr>
                <w:rFonts w:ascii="Arial" w:eastAsia="Calibri" w:hAnsi="Arial" w:cs="Arial"/>
                <w:color w:val="000000"/>
                <w:sz w:val="20"/>
                <w:szCs w:val="20"/>
                <w:lang w:eastAsia="en-US"/>
              </w:rPr>
              <w:t>Colonel du corps des officiers de la justice militaire ayant deux ans d'ancienneté dans ce grade</w:t>
            </w:r>
          </w:p>
        </w:tc>
      </w:tr>
      <w:tr w:rsidR="00BB0936" w:rsidRPr="00BB0936" w14:paraId="3DA85CCB" w14:textId="77777777" w:rsidTr="00045867">
        <w:tc>
          <w:tcPr>
            <w:tcW w:w="3827" w:type="dxa"/>
            <w:tcBorders>
              <w:top w:val="nil"/>
              <w:bottom w:val="single" w:sz="4" w:space="0" w:color="auto"/>
            </w:tcBorders>
            <w:vAlign w:val="center"/>
          </w:tcPr>
          <w:p w14:paraId="7BA7C6A8" w14:textId="77777777" w:rsidR="00BB0936" w:rsidRPr="00BB0936" w:rsidRDefault="00BB0936" w:rsidP="00BB0936">
            <w:pPr>
              <w:widowControl w:val="0"/>
              <w:kinsoku w:val="0"/>
              <w:overflowPunct w:val="0"/>
              <w:spacing w:after="0"/>
              <w:jc w:val="both"/>
              <w:textAlignment w:val="baseline"/>
              <w:rPr>
                <w:rFonts w:ascii="Arial" w:eastAsia="Calibri" w:hAnsi="Arial" w:cs="Arial"/>
                <w:color w:val="000000"/>
                <w:sz w:val="20"/>
                <w:szCs w:val="20"/>
                <w:lang w:eastAsia="en-US"/>
              </w:rPr>
            </w:pPr>
            <w:r w:rsidRPr="00BB0936">
              <w:rPr>
                <w:rFonts w:ascii="Arial" w:eastAsia="Calibri" w:hAnsi="Arial" w:cs="Arial"/>
                <w:color w:val="000000"/>
                <w:sz w:val="20"/>
                <w:szCs w:val="20"/>
                <w:lang w:eastAsia="en-US"/>
              </w:rPr>
              <w:t>Premier substitut du Procureur Général Directeur de la Justice Militaire</w:t>
            </w:r>
          </w:p>
        </w:tc>
        <w:tc>
          <w:tcPr>
            <w:tcW w:w="5635" w:type="dxa"/>
            <w:tcBorders>
              <w:top w:val="nil"/>
              <w:bottom w:val="single" w:sz="4" w:space="0" w:color="auto"/>
            </w:tcBorders>
          </w:tcPr>
          <w:p w14:paraId="6E7D1E27" w14:textId="77777777" w:rsidR="00BB0936" w:rsidRPr="00BB0936" w:rsidRDefault="00BB0936" w:rsidP="00BB0936">
            <w:pPr>
              <w:widowControl w:val="0"/>
              <w:kinsoku w:val="0"/>
              <w:overflowPunct w:val="0"/>
              <w:spacing w:after="0"/>
              <w:jc w:val="both"/>
              <w:textAlignment w:val="baseline"/>
              <w:rPr>
                <w:rFonts w:ascii="Arial" w:eastAsia="Calibri" w:hAnsi="Arial" w:cs="Arial"/>
                <w:color w:val="000000"/>
                <w:sz w:val="20"/>
                <w:szCs w:val="20"/>
                <w:lang w:eastAsia="en-US"/>
              </w:rPr>
            </w:pPr>
            <w:r w:rsidRPr="00BB0936">
              <w:rPr>
                <w:rFonts w:ascii="Arial" w:eastAsia="Calibri" w:hAnsi="Arial" w:cs="Arial"/>
                <w:color w:val="000000"/>
                <w:sz w:val="20"/>
                <w:szCs w:val="20"/>
                <w:lang w:eastAsia="en-US"/>
              </w:rPr>
              <w:t>Colonel du corps des officiers de la justice ayant deux ans d'ancienneté dans ce grade</w:t>
            </w:r>
          </w:p>
          <w:p w14:paraId="50FAB96D" w14:textId="77777777" w:rsidR="00BB0936" w:rsidRPr="00BB0936" w:rsidRDefault="00BB0936" w:rsidP="00BB0936">
            <w:pPr>
              <w:widowControl w:val="0"/>
              <w:kinsoku w:val="0"/>
              <w:overflowPunct w:val="0"/>
              <w:spacing w:after="0"/>
              <w:jc w:val="both"/>
              <w:textAlignment w:val="baseline"/>
              <w:rPr>
                <w:rFonts w:ascii="Arial" w:eastAsia="Calibri" w:hAnsi="Arial" w:cs="Arial"/>
                <w:color w:val="000000"/>
                <w:sz w:val="20"/>
                <w:szCs w:val="20"/>
                <w:lang w:eastAsia="en-US"/>
              </w:rPr>
            </w:pPr>
          </w:p>
        </w:tc>
      </w:tr>
      <w:tr w:rsidR="00BB0936" w:rsidRPr="00BB0936" w14:paraId="50D6BD2E" w14:textId="77777777" w:rsidTr="00045867">
        <w:tc>
          <w:tcPr>
            <w:tcW w:w="3827" w:type="dxa"/>
            <w:tcBorders>
              <w:bottom w:val="nil"/>
            </w:tcBorders>
            <w:vAlign w:val="center"/>
          </w:tcPr>
          <w:p w14:paraId="7EFCBB8C" w14:textId="77777777" w:rsidR="00BB0936" w:rsidRPr="00BB0936" w:rsidRDefault="00BB0936" w:rsidP="00BB0936">
            <w:pPr>
              <w:widowControl w:val="0"/>
              <w:kinsoku w:val="0"/>
              <w:overflowPunct w:val="0"/>
              <w:spacing w:after="0"/>
              <w:jc w:val="both"/>
              <w:textAlignment w:val="baseline"/>
              <w:rPr>
                <w:rFonts w:ascii="Arial" w:eastAsia="Calibri" w:hAnsi="Arial" w:cs="Arial"/>
                <w:color w:val="000000"/>
                <w:sz w:val="20"/>
                <w:szCs w:val="20"/>
                <w:lang w:eastAsia="en-US"/>
              </w:rPr>
            </w:pPr>
            <w:r w:rsidRPr="00BB0936">
              <w:rPr>
                <w:rFonts w:ascii="Arial" w:eastAsia="Calibri" w:hAnsi="Arial" w:cs="Arial"/>
                <w:color w:val="000000"/>
                <w:sz w:val="20"/>
                <w:szCs w:val="20"/>
                <w:lang w:eastAsia="en-US"/>
              </w:rPr>
              <w:t>Président du Tribunal militaire (en temps de guerre)</w:t>
            </w:r>
          </w:p>
        </w:tc>
        <w:tc>
          <w:tcPr>
            <w:tcW w:w="5635" w:type="dxa"/>
            <w:tcBorders>
              <w:bottom w:val="nil"/>
            </w:tcBorders>
          </w:tcPr>
          <w:p w14:paraId="40B3E7F7" w14:textId="77777777" w:rsidR="00BB0936" w:rsidRPr="00BB0936" w:rsidRDefault="00BB0936" w:rsidP="00BB0936">
            <w:pPr>
              <w:widowControl w:val="0"/>
              <w:kinsoku w:val="0"/>
              <w:overflowPunct w:val="0"/>
              <w:spacing w:after="0"/>
              <w:jc w:val="both"/>
              <w:textAlignment w:val="baseline"/>
              <w:rPr>
                <w:rFonts w:ascii="Arial" w:eastAsia="Calibri" w:hAnsi="Arial" w:cs="Arial"/>
                <w:color w:val="000000"/>
                <w:sz w:val="20"/>
                <w:szCs w:val="20"/>
                <w:lang w:eastAsia="en-US"/>
              </w:rPr>
            </w:pPr>
            <w:r w:rsidRPr="00BB0936">
              <w:rPr>
                <w:rFonts w:ascii="Arial" w:eastAsia="Calibri" w:hAnsi="Arial" w:cs="Arial"/>
                <w:color w:val="000000"/>
                <w:sz w:val="20"/>
                <w:szCs w:val="20"/>
                <w:lang w:eastAsia="en-US"/>
              </w:rPr>
              <w:t>Lieutenant-colonel du corps des officiers de la justice militaire ayant trois ans d'ancienneté dans ce grade</w:t>
            </w:r>
          </w:p>
        </w:tc>
      </w:tr>
      <w:tr w:rsidR="00BB0936" w:rsidRPr="00BB0936" w14:paraId="6A1797A1" w14:textId="77777777" w:rsidTr="00045867">
        <w:tc>
          <w:tcPr>
            <w:tcW w:w="3827" w:type="dxa"/>
            <w:tcBorders>
              <w:top w:val="nil"/>
              <w:bottom w:val="nil"/>
            </w:tcBorders>
            <w:vAlign w:val="center"/>
          </w:tcPr>
          <w:p w14:paraId="59246E5E" w14:textId="77777777" w:rsidR="00BB0936" w:rsidRPr="00BB0936" w:rsidRDefault="00BB0936" w:rsidP="00BB0936">
            <w:pPr>
              <w:widowControl w:val="0"/>
              <w:kinsoku w:val="0"/>
              <w:overflowPunct w:val="0"/>
              <w:spacing w:after="0"/>
              <w:jc w:val="both"/>
              <w:textAlignment w:val="baseline"/>
              <w:rPr>
                <w:rFonts w:ascii="Arial" w:eastAsia="Calibri" w:hAnsi="Arial" w:cs="Arial"/>
                <w:color w:val="000000"/>
                <w:sz w:val="20"/>
                <w:szCs w:val="20"/>
                <w:lang w:eastAsia="en-US"/>
              </w:rPr>
            </w:pPr>
            <w:r w:rsidRPr="00BB0936">
              <w:rPr>
                <w:rFonts w:ascii="Arial" w:eastAsia="Calibri" w:hAnsi="Arial" w:cs="Arial"/>
                <w:color w:val="000000"/>
                <w:sz w:val="20"/>
                <w:szCs w:val="20"/>
                <w:lang w:eastAsia="en-US"/>
              </w:rPr>
              <w:t>Commissaire de Gouvernement près du Tribunal militaire permanent autre que Tunis</w:t>
            </w:r>
          </w:p>
        </w:tc>
        <w:tc>
          <w:tcPr>
            <w:tcW w:w="5635" w:type="dxa"/>
            <w:tcBorders>
              <w:top w:val="nil"/>
              <w:bottom w:val="nil"/>
            </w:tcBorders>
          </w:tcPr>
          <w:p w14:paraId="65AAF220" w14:textId="77777777" w:rsidR="00BB0936" w:rsidRPr="00BB0936" w:rsidRDefault="00BB0936" w:rsidP="00BB0936">
            <w:pPr>
              <w:widowControl w:val="0"/>
              <w:kinsoku w:val="0"/>
              <w:overflowPunct w:val="0"/>
              <w:spacing w:after="0"/>
              <w:jc w:val="both"/>
              <w:textAlignment w:val="baseline"/>
              <w:rPr>
                <w:rFonts w:ascii="Arial" w:eastAsia="Calibri" w:hAnsi="Arial" w:cs="Arial"/>
                <w:color w:val="000000"/>
                <w:sz w:val="20"/>
                <w:szCs w:val="20"/>
                <w:lang w:eastAsia="en-US"/>
              </w:rPr>
            </w:pPr>
            <w:r w:rsidRPr="00BB0936">
              <w:rPr>
                <w:rFonts w:ascii="Arial" w:eastAsia="Calibri" w:hAnsi="Arial" w:cs="Arial"/>
                <w:color w:val="000000"/>
                <w:sz w:val="20"/>
                <w:szCs w:val="20"/>
                <w:lang w:eastAsia="en-US"/>
              </w:rPr>
              <w:t>Lieutenant-colonel du corps des officiers de la justice militaire ayant trois ans d'ancienneté dans ce grade</w:t>
            </w:r>
          </w:p>
        </w:tc>
      </w:tr>
      <w:tr w:rsidR="00BB0936" w:rsidRPr="00BB0936" w14:paraId="0B4B2708" w14:textId="77777777" w:rsidTr="00045867">
        <w:tc>
          <w:tcPr>
            <w:tcW w:w="3827" w:type="dxa"/>
            <w:tcBorders>
              <w:top w:val="nil"/>
              <w:bottom w:val="nil"/>
            </w:tcBorders>
            <w:vAlign w:val="center"/>
          </w:tcPr>
          <w:p w14:paraId="2620EBCF" w14:textId="77777777" w:rsidR="00BB0936" w:rsidRPr="00BB0936" w:rsidRDefault="00BB0936" w:rsidP="00BB0936">
            <w:pPr>
              <w:widowControl w:val="0"/>
              <w:kinsoku w:val="0"/>
              <w:overflowPunct w:val="0"/>
              <w:spacing w:after="0"/>
              <w:jc w:val="both"/>
              <w:textAlignment w:val="baseline"/>
              <w:rPr>
                <w:rFonts w:ascii="Arial" w:eastAsia="Calibri" w:hAnsi="Arial" w:cs="Arial"/>
                <w:color w:val="000000"/>
                <w:sz w:val="20"/>
                <w:szCs w:val="20"/>
                <w:lang w:eastAsia="en-US"/>
              </w:rPr>
            </w:pPr>
            <w:r w:rsidRPr="00BB0936">
              <w:rPr>
                <w:rFonts w:ascii="Arial" w:eastAsia="Calibri" w:hAnsi="Arial" w:cs="Arial"/>
                <w:color w:val="000000"/>
                <w:sz w:val="20"/>
                <w:szCs w:val="20"/>
                <w:lang w:eastAsia="en-US"/>
              </w:rPr>
              <w:t>Premier substitut du Commissaire de Gouvernement près du Tribunal militaire permanent de Tunis</w:t>
            </w:r>
          </w:p>
        </w:tc>
        <w:tc>
          <w:tcPr>
            <w:tcW w:w="5635" w:type="dxa"/>
            <w:tcBorders>
              <w:top w:val="nil"/>
              <w:bottom w:val="nil"/>
            </w:tcBorders>
          </w:tcPr>
          <w:p w14:paraId="58032263" w14:textId="77777777" w:rsidR="00BB0936" w:rsidRPr="00BB0936" w:rsidRDefault="00BB0936" w:rsidP="00BB0936">
            <w:pPr>
              <w:widowControl w:val="0"/>
              <w:kinsoku w:val="0"/>
              <w:overflowPunct w:val="0"/>
              <w:spacing w:after="0"/>
              <w:jc w:val="both"/>
              <w:textAlignment w:val="baseline"/>
              <w:rPr>
                <w:rFonts w:ascii="Arial" w:eastAsia="Calibri" w:hAnsi="Arial" w:cs="Arial"/>
                <w:color w:val="000000"/>
                <w:sz w:val="20"/>
                <w:szCs w:val="20"/>
                <w:lang w:eastAsia="en-US"/>
              </w:rPr>
            </w:pPr>
            <w:r w:rsidRPr="00BB0936">
              <w:rPr>
                <w:rFonts w:ascii="Arial" w:eastAsia="Calibri" w:hAnsi="Arial" w:cs="Arial"/>
                <w:color w:val="000000"/>
                <w:sz w:val="20"/>
                <w:szCs w:val="20"/>
                <w:lang w:eastAsia="en-US"/>
              </w:rPr>
              <w:t>Lieutenant-colonel du corps des officiers de la justice militaire ayant trois ans d'ancienneté dans ce grade</w:t>
            </w:r>
          </w:p>
        </w:tc>
      </w:tr>
      <w:tr w:rsidR="00BB0936" w:rsidRPr="00BB0936" w14:paraId="71598BB3" w14:textId="77777777" w:rsidTr="00045867">
        <w:tc>
          <w:tcPr>
            <w:tcW w:w="3827" w:type="dxa"/>
            <w:tcBorders>
              <w:top w:val="nil"/>
              <w:bottom w:val="single" w:sz="4" w:space="0" w:color="auto"/>
            </w:tcBorders>
            <w:vAlign w:val="center"/>
          </w:tcPr>
          <w:p w14:paraId="5D250312" w14:textId="77777777" w:rsidR="00BB0936" w:rsidRPr="00BB0936" w:rsidRDefault="00BB0936" w:rsidP="00BB0936">
            <w:pPr>
              <w:widowControl w:val="0"/>
              <w:kinsoku w:val="0"/>
              <w:overflowPunct w:val="0"/>
              <w:spacing w:after="0"/>
              <w:jc w:val="both"/>
              <w:textAlignment w:val="baseline"/>
              <w:rPr>
                <w:rFonts w:ascii="Arial" w:eastAsia="Calibri" w:hAnsi="Arial" w:cs="Arial"/>
                <w:color w:val="000000"/>
                <w:sz w:val="20"/>
                <w:szCs w:val="20"/>
                <w:lang w:eastAsia="en-US"/>
              </w:rPr>
            </w:pPr>
            <w:r w:rsidRPr="00BB0936">
              <w:rPr>
                <w:rFonts w:ascii="Arial" w:eastAsia="Calibri" w:hAnsi="Arial" w:cs="Arial"/>
                <w:color w:val="000000"/>
                <w:sz w:val="20"/>
                <w:szCs w:val="20"/>
                <w:lang w:eastAsia="en-US"/>
              </w:rPr>
              <w:t>Substitut du Procureur Général Directeur de la Justice Militaire</w:t>
            </w:r>
          </w:p>
        </w:tc>
        <w:tc>
          <w:tcPr>
            <w:tcW w:w="5635" w:type="dxa"/>
            <w:tcBorders>
              <w:top w:val="nil"/>
              <w:bottom w:val="single" w:sz="4" w:space="0" w:color="auto"/>
            </w:tcBorders>
          </w:tcPr>
          <w:p w14:paraId="6FF3A6F9" w14:textId="77777777" w:rsidR="00BB0936" w:rsidRPr="00BB0936" w:rsidRDefault="00BB0936" w:rsidP="00BB0936">
            <w:pPr>
              <w:widowControl w:val="0"/>
              <w:kinsoku w:val="0"/>
              <w:overflowPunct w:val="0"/>
              <w:spacing w:after="0"/>
              <w:jc w:val="both"/>
              <w:textAlignment w:val="baseline"/>
              <w:rPr>
                <w:rFonts w:ascii="Arial" w:eastAsia="Calibri" w:hAnsi="Arial" w:cs="Arial"/>
                <w:color w:val="000000"/>
                <w:sz w:val="20"/>
                <w:szCs w:val="20"/>
                <w:lang w:eastAsia="en-US"/>
              </w:rPr>
            </w:pPr>
            <w:r w:rsidRPr="00BB0936">
              <w:rPr>
                <w:rFonts w:ascii="Arial" w:eastAsia="Calibri" w:hAnsi="Arial" w:cs="Arial"/>
                <w:color w:val="000000"/>
                <w:sz w:val="20"/>
                <w:szCs w:val="20"/>
                <w:lang w:eastAsia="en-US"/>
              </w:rPr>
              <w:t>Lieutenant-colonel du corps des officiers de la justice militaire ayant trois ans d'ancienneté dans ce grade</w:t>
            </w:r>
          </w:p>
        </w:tc>
      </w:tr>
      <w:tr w:rsidR="00BB0936" w:rsidRPr="00BB0936" w14:paraId="7FC3F978" w14:textId="77777777" w:rsidTr="00045867">
        <w:tc>
          <w:tcPr>
            <w:tcW w:w="3827" w:type="dxa"/>
            <w:tcBorders>
              <w:bottom w:val="nil"/>
            </w:tcBorders>
            <w:vAlign w:val="center"/>
          </w:tcPr>
          <w:p w14:paraId="13514BCA" w14:textId="77777777" w:rsidR="00BB0936" w:rsidRPr="00BB0936" w:rsidRDefault="00BB0936" w:rsidP="00BB0936">
            <w:pPr>
              <w:widowControl w:val="0"/>
              <w:kinsoku w:val="0"/>
              <w:overflowPunct w:val="0"/>
              <w:spacing w:after="0"/>
              <w:jc w:val="both"/>
              <w:textAlignment w:val="baseline"/>
              <w:rPr>
                <w:rFonts w:ascii="Arial" w:eastAsia="Calibri" w:hAnsi="Arial" w:cs="Arial"/>
                <w:color w:val="000000"/>
                <w:sz w:val="20"/>
                <w:szCs w:val="20"/>
                <w:lang w:eastAsia="en-US"/>
              </w:rPr>
            </w:pPr>
            <w:r w:rsidRPr="00BB0936">
              <w:rPr>
                <w:rFonts w:ascii="Arial" w:eastAsia="Calibri" w:hAnsi="Arial" w:cs="Arial"/>
                <w:color w:val="000000"/>
                <w:sz w:val="20"/>
                <w:szCs w:val="20"/>
                <w:lang w:eastAsia="en-US"/>
              </w:rPr>
              <w:t>Premier substitut du Commissaire de Gouvernement près du Tribunal militaire permanent autre que Tunis</w:t>
            </w:r>
          </w:p>
        </w:tc>
        <w:tc>
          <w:tcPr>
            <w:tcW w:w="5635" w:type="dxa"/>
            <w:tcBorders>
              <w:bottom w:val="nil"/>
            </w:tcBorders>
          </w:tcPr>
          <w:p w14:paraId="30D53E4E" w14:textId="77777777" w:rsidR="00BB0936" w:rsidRPr="00BB0936" w:rsidRDefault="00BB0936" w:rsidP="00BB0936">
            <w:pPr>
              <w:widowControl w:val="0"/>
              <w:kinsoku w:val="0"/>
              <w:overflowPunct w:val="0"/>
              <w:spacing w:after="0"/>
              <w:jc w:val="both"/>
              <w:textAlignment w:val="baseline"/>
              <w:rPr>
                <w:rFonts w:ascii="Arial" w:eastAsia="Calibri" w:hAnsi="Arial" w:cs="Arial"/>
                <w:color w:val="000000"/>
                <w:sz w:val="20"/>
                <w:szCs w:val="20"/>
                <w:lang w:eastAsia="en-US"/>
              </w:rPr>
            </w:pPr>
            <w:r w:rsidRPr="00BB0936">
              <w:rPr>
                <w:rFonts w:ascii="Arial" w:eastAsia="Calibri" w:hAnsi="Arial" w:cs="Arial"/>
                <w:color w:val="000000"/>
                <w:sz w:val="20"/>
                <w:szCs w:val="20"/>
                <w:lang w:eastAsia="en-US"/>
              </w:rPr>
              <w:t>Commandant du corps des officiers de la justice militaire ayant quatre ans d'ancienneté dans ce grade</w:t>
            </w:r>
          </w:p>
        </w:tc>
      </w:tr>
      <w:tr w:rsidR="00BB0936" w:rsidRPr="00BB0936" w14:paraId="0B6BA6EA" w14:textId="77777777" w:rsidTr="00045867">
        <w:tc>
          <w:tcPr>
            <w:tcW w:w="3827" w:type="dxa"/>
            <w:tcBorders>
              <w:top w:val="nil"/>
              <w:bottom w:val="nil"/>
            </w:tcBorders>
            <w:vAlign w:val="center"/>
          </w:tcPr>
          <w:p w14:paraId="1C466735" w14:textId="77777777" w:rsidR="00BB0936" w:rsidRPr="00BB0936" w:rsidRDefault="00BB0936" w:rsidP="00BB0936">
            <w:pPr>
              <w:widowControl w:val="0"/>
              <w:kinsoku w:val="0"/>
              <w:overflowPunct w:val="0"/>
              <w:spacing w:after="0"/>
              <w:jc w:val="both"/>
              <w:textAlignment w:val="baseline"/>
              <w:rPr>
                <w:rFonts w:ascii="Arial" w:eastAsia="Calibri" w:hAnsi="Arial" w:cs="Arial"/>
                <w:color w:val="000000"/>
                <w:sz w:val="20"/>
                <w:szCs w:val="20"/>
                <w:lang w:eastAsia="en-US"/>
              </w:rPr>
            </w:pPr>
            <w:r w:rsidRPr="00BB0936">
              <w:rPr>
                <w:rFonts w:ascii="Arial" w:eastAsia="Calibri" w:hAnsi="Arial" w:cs="Arial"/>
                <w:color w:val="000000"/>
                <w:sz w:val="20"/>
                <w:szCs w:val="20"/>
                <w:lang w:eastAsia="en-US"/>
              </w:rPr>
              <w:t>Premier Juge d’Instruction près du Tribunal permanent</w:t>
            </w:r>
          </w:p>
        </w:tc>
        <w:tc>
          <w:tcPr>
            <w:tcW w:w="5635" w:type="dxa"/>
            <w:tcBorders>
              <w:top w:val="nil"/>
              <w:bottom w:val="nil"/>
            </w:tcBorders>
          </w:tcPr>
          <w:p w14:paraId="53F22469" w14:textId="77777777" w:rsidR="00BB0936" w:rsidRPr="00BB0936" w:rsidRDefault="00BB0936" w:rsidP="00BB0936">
            <w:pPr>
              <w:widowControl w:val="0"/>
              <w:kinsoku w:val="0"/>
              <w:overflowPunct w:val="0"/>
              <w:spacing w:after="0"/>
              <w:jc w:val="both"/>
              <w:textAlignment w:val="baseline"/>
              <w:rPr>
                <w:rFonts w:ascii="Arial" w:eastAsia="Calibri" w:hAnsi="Arial" w:cs="Arial"/>
                <w:color w:val="000000"/>
                <w:sz w:val="20"/>
                <w:szCs w:val="20"/>
                <w:lang w:eastAsia="en-US"/>
              </w:rPr>
            </w:pPr>
            <w:r w:rsidRPr="00BB0936">
              <w:rPr>
                <w:rFonts w:ascii="Arial" w:eastAsia="Calibri" w:hAnsi="Arial" w:cs="Arial"/>
                <w:color w:val="000000"/>
                <w:sz w:val="20"/>
                <w:szCs w:val="20"/>
                <w:lang w:eastAsia="en-US"/>
              </w:rPr>
              <w:t>Commandant du corps des officiers de la justice militaire ayant quatre ans d'ancienneté dans ce grade</w:t>
            </w:r>
          </w:p>
        </w:tc>
      </w:tr>
      <w:tr w:rsidR="00BB0936" w:rsidRPr="00BB0936" w14:paraId="0F8F9536" w14:textId="77777777" w:rsidTr="00045867">
        <w:tc>
          <w:tcPr>
            <w:tcW w:w="3827" w:type="dxa"/>
            <w:tcBorders>
              <w:top w:val="nil"/>
              <w:bottom w:val="nil"/>
            </w:tcBorders>
            <w:vAlign w:val="center"/>
          </w:tcPr>
          <w:p w14:paraId="3BEF1F86" w14:textId="77777777" w:rsidR="00BB0936" w:rsidRPr="00BB0936" w:rsidRDefault="00BB0936" w:rsidP="00BB0936">
            <w:pPr>
              <w:widowControl w:val="0"/>
              <w:kinsoku w:val="0"/>
              <w:overflowPunct w:val="0"/>
              <w:spacing w:after="0"/>
              <w:jc w:val="both"/>
              <w:textAlignment w:val="baseline"/>
              <w:rPr>
                <w:rFonts w:ascii="Arial" w:eastAsia="Calibri" w:hAnsi="Arial" w:cs="Arial"/>
                <w:color w:val="000000"/>
                <w:sz w:val="20"/>
                <w:szCs w:val="20"/>
                <w:lang w:eastAsia="en-US"/>
              </w:rPr>
            </w:pPr>
            <w:r w:rsidRPr="00BB0936">
              <w:rPr>
                <w:rFonts w:ascii="Arial" w:eastAsia="Calibri" w:hAnsi="Arial" w:cs="Arial"/>
                <w:color w:val="000000"/>
                <w:sz w:val="20"/>
                <w:szCs w:val="20"/>
                <w:lang w:eastAsia="en-US"/>
              </w:rPr>
              <w:t>Juge d’Instruction près du Tribunal permanent</w:t>
            </w:r>
          </w:p>
        </w:tc>
        <w:tc>
          <w:tcPr>
            <w:tcW w:w="5635" w:type="dxa"/>
            <w:tcBorders>
              <w:top w:val="nil"/>
              <w:bottom w:val="nil"/>
            </w:tcBorders>
          </w:tcPr>
          <w:p w14:paraId="5F991A37" w14:textId="77777777" w:rsidR="00BB0936" w:rsidRPr="00BB0936" w:rsidRDefault="00BB0936" w:rsidP="00BB0936">
            <w:pPr>
              <w:widowControl w:val="0"/>
              <w:kinsoku w:val="0"/>
              <w:overflowPunct w:val="0"/>
              <w:spacing w:after="0"/>
              <w:jc w:val="both"/>
              <w:textAlignment w:val="baseline"/>
              <w:rPr>
                <w:rFonts w:ascii="Arial" w:eastAsia="Calibri" w:hAnsi="Arial" w:cs="Arial"/>
                <w:color w:val="000000"/>
                <w:sz w:val="20"/>
                <w:szCs w:val="20"/>
                <w:lang w:eastAsia="en-US"/>
              </w:rPr>
            </w:pPr>
            <w:r w:rsidRPr="00BB0936">
              <w:rPr>
                <w:rFonts w:ascii="Arial" w:eastAsia="Calibri" w:hAnsi="Arial" w:cs="Arial"/>
                <w:color w:val="000000"/>
                <w:sz w:val="20"/>
                <w:szCs w:val="20"/>
                <w:lang w:eastAsia="en-US"/>
              </w:rPr>
              <w:t>Lieutenant du corps des officiers de la justice militaire ayant cinq ans d'ancienneté dans ce grade</w:t>
            </w:r>
          </w:p>
        </w:tc>
      </w:tr>
      <w:tr w:rsidR="00BB0936" w:rsidRPr="00BB0936" w14:paraId="2D0C9B86" w14:textId="77777777" w:rsidTr="00045867">
        <w:tc>
          <w:tcPr>
            <w:tcW w:w="3827" w:type="dxa"/>
            <w:tcBorders>
              <w:top w:val="nil"/>
            </w:tcBorders>
            <w:vAlign w:val="center"/>
          </w:tcPr>
          <w:p w14:paraId="125BFB4E" w14:textId="77777777" w:rsidR="00BB0936" w:rsidRPr="00BB0936" w:rsidRDefault="00BB0936" w:rsidP="00BB0936">
            <w:pPr>
              <w:widowControl w:val="0"/>
              <w:kinsoku w:val="0"/>
              <w:overflowPunct w:val="0"/>
              <w:spacing w:after="0"/>
              <w:jc w:val="both"/>
              <w:textAlignment w:val="baseline"/>
              <w:rPr>
                <w:rFonts w:ascii="Arial" w:eastAsia="Calibri" w:hAnsi="Arial" w:cs="Arial"/>
                <w:color w:val="000000"/>
                <w:sz w:val="20"/>
                <w:szCs w:val="20"/>
                <w:lang w:eastAsia="en-US"/>
              </w:rPr>
            </w:pPr>
            <w:r w:rsidRPr="00BB0936">
              <w:rPr>
                <w:rFonts w:ascii="Arial" w:eastAsia="Calibri" w:hAnsi="Arial" w:cs="Arial"/>
                <w:color w:val="000000"/>
                <w:sz w:val="20"/>
                <w:szCs w:val="20"/>
                <w:lang w:eastAsia="en-US"/>
              </w:rPr>
              <w:t>Substitut du Commissaire de Gouvernement près du Tribunal militaire permanent</w:t>
            </w:r>
          </w:p>
        </w:tc>
        <w:tc>
          <w:tcPr>
            <w:tcW w:w="5635" w:type="dxa"/>
            <w:tcBorders>
              <w:top w:val="nil"/>
            </w:tcBorders>
          </w:tcPr>
          <w:p w14:paraId="6DC4AC23" w14:textId="77777777" w:rsidR="00BB0936" w:rsidRPr="00BB0936" w:rsidRDefault="00BB0936" w:rsidP="00BB0936">
            <w:pPr>
              <w:widowControl w:val="0"/>
              <w:kinsoku w:val="0"/>
              <w:overflowPunct w:val="0"/>
              <w:spacing w:after="0"/>
              <w:jc w:val="both"/>
              <w:textAlignment w:val="baseline"/>
              <w:rPr>
                <w:rFonts w:ascii="Arial" w:eastAsia="Calibri" w:hAnsi="Arial" w:cs="Arial"/>
                <w:color w:val="000000"/>
                <w:sz w:val="20"/>
                <w:szCs w:val="20"/>
                <w:lang w:eastAsia="en-US"/>
              </w:rPr>
            </w:pPr>
            <w:r w:rsidRPr="00BB0936">
              <w:rPr>
                <w:rFonts w:ascii="Arial" w:eastAsia="Calibri" w:hAnsi="Arial" w:cs="Arial"/>
                <w:color w:val="000000"/>
                <w:sz w:val="20"/>
                <w:szCs w:val="20"/>
                <w:lang w:eastAsia="en-US"/>
              </w:rPr>
              <w:t>Lieutenant du corps des officiers de la justice militaire ayant cinq ans d'ancienneté dans ce grade</w:t>
            </w:r>
          </w:p>
        </w:tc>
      </w:tr>
      <w:tr w:rsidR="00BB0936" w:rsidRPr="00BB0936" w14:paraId="573E353B" w14:textId="77777777" w:rsidTr="00045867">
        <w:tc>
          <w:tcPr>
            <w:tcW w:w="3827" w:type="dxa"/>
            <w:vAlign w:val="center"/>
          </w:tcPr>
          <w:p w14:paraId="57B7313B" w14:textId="77777777" w:rsidR="00BB0936" w:rsidRPr="00BB0936" w:rsidRDefault="00BB0936" w:rsidP="00BB0936">
            <w:pPr>
              <w:widowControl w:val="0"/>
              <w:kinsoku w:val="0"/>
              <w:overflowPunct w:val="0"/>
              <w:spacing w:after="0"/>
              <w:jc w:val="both"/>
              <w:textAlignment w:val="baseline"/>
              <w:rPr>
                <w:rFonts w:ascii="Arial" w:eastAsia="Calibri" w:hAnsi="Arial" w:cs="Arial"/>
                <w:color w:val="000000"/>
                <w:sz w:val="20"/>
                <w:szCs w:val="20"/>
                <w:lang w:eastAsia="en-US"/>
              </w:rPr>
            </w:pPr>
            <w:r w:rsidRPr="00BB0936">
              <w:rPr>
                <w:rFonts w:ascii="Arial" w:eastAsia="Calibri" w:hAnsi="Arial" w:cs="Arial"/>
                <w:color w:val="000000"/>
                <w:sz w:val="20"/>
                <w:szCs w:val="20"/>
                <w:lang w:eastAsia="en-US"/>
              </w:rPr>
              <w:t xml:space="preserve">Juge Rapporteur au Tribunal militaire permanent </w:t>
            </w:r>
          </w:p>
        </w:tc>
        <w:tc>
          <w:tcPr>
            <w:tcW w:w="5635" w:type="dxa"/>
          </w:tcPr>
          <w:p w14:paraId="29E87E33" w14:textId="77777777" w:rsidR="00BB0936" w:rsidRPr="00BB0936" w:rsidRDefault="00BB0936" w:rsidP="00BB0936">
            <w:pPr>
              <w:widowControl w:val="0"/>
              <w:kinsoku w:val="0"/>
              <w:overflowPunct w:val="0"/>
              <w:spacing w:after="0"/>
              <w:jc w:val="both"/>
              <w:textAlignment w:val="baseline"/>
              <w:rPr>
                <w:rFonts w:ascii="Arial" w:eastAsia="Times New Roman" w:hAnsi="Arial" w:cs="Arial"/>
                <w:spacing w:val="8"/>
                <w:sz w:val="20"/>
                <w:szCs w:val="20"/>
              </w:rPr>
            </w:pPr>
            <w:r w:rsidRPr="00BB0936">
              <w:rPr>
                <w:rFonts w:ascii="Arial" w:eastAsia="Calibri" w:hAnsi="Arial" w:cs="Arial"/>
                <w:color w:val="000000"/>
                <w:sz w:val="20"/>
                <w:szCs w:val="20"/>
                <w:lang w:eastAsia="en-US"/>
              </w:rPr>
              <w:t>Sous-Lieutenant licencié en droit</w:t>
            </w:r>
          </w:p>
        </w:tc>
      </w:tr>
      <w:tr w:rsidR="00BB0936" w:rsidRPr="00BB0936" w14:paraId="5710B87A" w14:textId="77777777" w:rsidTr="00045867">
        <w:tc>
          <w:tcPr>
            <w:tcW w:w="3827" w:type="dxa"/>
            <w:vAlign w:val="center"/>
          </w:tcPr>
          <w:p w14:paraId="088CF5F3" w14:textId="77777777" w:rsidR="00BB0936" w:rsidRPr="00BB0936" w:rsidRDefault="00BB0936" w:rsidP="00BB0936">
            <w:pPr>
              <w:widowControl w:val="0"/>
              <w:kinsoku w:val="0"/>
              <w:overflowPunct w:val="0"/>
              <w:spacing w:after="0"/>
              <w:jc w:val="both"/>
              <w:textAlignment w:val="baseline"/>
              <w:rPr>
                <w:rFonts w:ascii="Arial" w:eastAsia="Calibri" w:hAnsi="Arial" w:cs="Arial"/>
                <w:color w:val="000000"/>
                <w:sz w:val="20"/>
                <w:szCs w:val="20"/>
                <w:lang w:eastAsia="en-US"/>
              </w:rPr>
            </w:pPr>
            <w:r w:rsidRPr="00BB0936">
              <w:rPr>
                <w:rFonts w:ascii="Arial" w:eastAsia="Calibri" w:hAnsi="Arial" w:cs="Arial"/>
                <w:color w:val="000000"/>
                <w:sz w:val="20"/>
                <w:szCs w:val="20"/>
                <w:lang w:eastAsia="en-US"/>
              </w:rPr>
              <w:t>Juge unique</w:t>
            </w:r>
          </w:p>
        </w:tc>
        <w:tc>
          <w:tcPr>
            <w:tcW w:w="5635" w:type="dxa"/>
          </w:tcPr>
          <w:p w14:paraId="22C412C4" w14:textId="77777777" w:rsidR="00BB0936" w:rsidRPr="00BB0936" w:rsidRDefault="00BB0936" w:rsidP="00BB0936">
            <w:pPr>
              <w:widowControl w:val="0"/>
              <w:kinsoku w:val="0"/>
              <w:overflowPunct w:val="0"/>
              <w:spacing w:after="0"/>
              <w:jc w:val="both"/>
              <w:textAlignment w:val="baseline"/>
              <w:rPr>
                <w:rFonts w:ascii="Arial" w:eastAsia="Times New Roman" w:hAnsi="Arial" w:cs="Arial"/>
                <w:spacing w:val="8"/>
                <w:sz w:val="20"/>
                <w:szCs w:val="20"/>
              </w:rPr>
            </w:pPr>
            <w:r w:rsidRPr="00BB0936">
              <w:rPr>
                <w:rFonts w:ascii="Arial" w:eastAsia="Calibri" w:hAnsi="Arial" w:cs="Arial"/>
                <w:color w:val="000000"/>
                <w:sz w:val="20"/>
                <w:szCs w:val="20"/>
                <w:lang w:eastAsia="en-US"/>
              </w:rPr>
              <w:t>Commandant du corps des officiers de la justice ayant quatre ans d’ancienneté dans ce grade</w:t>
            </w:r>
          </w:p>
        </w:tc>
      </w:tr>
    </w:tbl>
    <w:p w14:paraId="378200E7" w14:textId="77777777" w:rsidR="00BB0936" w:rsidRPr="00BB0936" w:rsidRDefault="00BB0936" w:rsidP="00BB0936">
      <w:pPr>
        <w:widowControl w:val="0"/>
        <w:tabs>
          <w:tab w:val="left" w:pos="6336"/>
        </w:tabs>
        <w:kinsoku w:val="0"/>
        <w:overflowPunct w:val="0"/>
        <w:spacing w:before="100" w:beforeAutospacing="1" w:after="0"/>
        <w:ind w:left="283"/>
        <w:jc w:val="both"/>
        <w:textAlignment w:val="baseline"/>
        <w:rPr>
          <w:rFonts w:ascii="Arial" w:eastAsia="Times New Roman" w:hAnsi="Arial" w:cs="Arial"/>
          <w:spacing w:val="4"/>
          <w:sz w:val="20"/>
          <w:szCs w:val="20"/>
        </w:rPr>
      </w:pPr>
      <w:r w:rsidRPr="00BB0936">
        <w:rPr>
          <w:rFonts w:ascii="Arial" w:eastAsia="Times New Roman" w:hAnsi="Arial" w:cs="Arial"/>
          <w:spacing w:val="4"/>
          <w:sz w:val="20"/>
          <w:szCs w:val="20"/>
        </w:rPr>
        <w:t>Toutefois, en cas de nécessité, l'ancienneté prévue pour l'attribution de chacune des fonctions indiquées ci-dessus peut être réduite de moitié.</w:t>
      </w:r>
    </w:p>
    <w:p w14:paraId="11697CEE" w14:textId="77777777" w:rsidR="00BB0936" w:rsidRPr="00BB0936" w:rsidRDefault="00BB0936" w:rsidP="00BB0936">
      <w:pPr>
        <w:widowControl w:val="0"/>
        <w:tabs>
          <w:tab w:val="left" w:pos="6336"/>
        </w:tabs>
        <w:kinsoku w:val="0"/>
        <w:overflowPunct w:val="0"/>
        <w:spacing w:before="100" w:beforeAutospacing="1" w:after="0"/>
        <w:ind w:left="283"/>
        <w:jc w:val="both"/>
        <w:textAlignment w:val="baseline"/>
        <w:rPr>
          <w:rFonts w:ascii="Arial" w:eastAsia="Times New Roman" w:hAnsi="Arial" w:cs="Arial"/>
          <w:b/>
          <w:bCs/>
          <w:i/>
          <w:iCs/>
          <w:spacing w:val="4"/>
          <w:sz w:val="20"/>
          <w:szCs w:val="20"/>
        </w:rPr>
      </w:pPr>
      <w:r w:rsidRPr="00BB0936">
        <w:rPr>
          <w:rFonts w:ascii="Arial" w:eastAsia="Times New Roman" w:hAnsi="Arial" w:cs="Arial"/>
          <w:b/>
          <w:bCs/>
          <w:i/>
          <w:iCs/>
          <w:spacing w:val="4"/>
          <w:sz w:val="20"/>
          <w:szCs w:val="20"/>
        </w:rPr>
        <w:t xml:space="preserve">Art. 4 – </w:t>
      </w:r>
      <w:r w:rsidRPr="00BB0936">
        <w:rPr>
          <w:rFonts w:ascii="Arial" w:eastAsia="Times New Roman" w:hAnsi="Arial" w:cs="Arial"/>
          <w:spacing w:val="4"/>
          <w:sz w:val="20"/>
          <w:szCs w:val="20"/>
        </w:rPr>
        <w:t>Les magistrats indiqués à l'article premier (A) peuvent opter globalement soit pour le régime des indemnités accordées par l'article deux de ce décret soit pour le régime des indemnités propres aux militaires du même grade mais ils ne peuvent cumuler entre les deux régimes d'indemnités.</w:t>
      </w:r>
    </w:p>
    <w:p w14:paraId="16EA763A" w14:textId="77777777" w:rsidR="00BB0936" w:rsidRPr="00BB0936" w:rsidRDefault="00BB0936" w:rsidP="00BB0936">
      <w:pPr>
        <w:widowControl w:val="0"/>
        <w:tabs>
          <w:tab w:val="left" w:pos="6336"/>
        </w:tabs>
        <w:autoSpaceDE w:val="0"/>
        <w:autoSpaceDN w:val="0"/>
        <w:adjustRightInd w:val="0"/>
        <w:spacing w:before="100" w:beforeAutospacing="1" w:after="0"/>
        <w:ind w:left="283"/>
        <w:jc w:val="both"/>
        <w:rPr>
          <w:rFonts w:ascii="Arial" w:eastAsia="Times New Roman" w:hAnsi="Arial" w:cs="Arial"/>
          <w:spacing w:val="4"/>
          <w:sz w:val="20"/>
          <w:szCs w:val="20"/>
        </w:rPr>
      </w:pPr>
      <w:r w:rsidRPr="00BB0936">
        <w:rPr>
          <w:rFonts w:ascii="Arial" w:eastAsia="Times New Roman" w:hAnsi="Arial" w:cs="Arial"/>
          <w:spacing w:val="4"/>
          <w:sz w:val="20"/>
          <w:szCs w:val="20"/>
        </w:rPr>
        <w:t>Les magistrats civils indiqués à l'article premier (B) ne peuvent en aucun cas cumuler entre les indemnités accordées par l'article deux de ce décret et les indemnités qui leur sont accordées par le ministère de la justice.</w:t>
      </w:r>
    </w:p>
    <w:p w14:paraId="3BC658A7" w14:textId="77777777" w:rsidR="00BB0936" w:rsidRPr="00BB0936" w:rsidRDefault="00BB0936" w:rsidP="00BB0936">
      <w:pPr>
        <w:widowControl w:val="0"/>
        <w:tabs>
          <w:tab w:val="left" w:pos="6336"/>
        </w:tabs>
        <w:autoSpaceDE w:val="0"/>
        <w:autoSpaceDN w:val="0"/>
        <w:adjustRightInd w:val="0"/>
        <w:spacing w:before="100" w:beforeAutospacing="1" w:after="0"/>
        <w:ind w:left="283"/>
        <w:jc w:val="both"/>
        <w:rPr>
          <w:rFonts w:ascii="Arial" w:eastAsia="Times New Roman" w:hAnsi="Arial" w:cs="Arial"/>
          <w:b/>
          <w:bCs/>
          <w:i/>
          <w:iCs/>
          <w:spacing w:val="4"/>
          <w:sz w:val="20"/>
          <w:szCs w:val="20"/>
        </w:rPr>
      </w:pPr>
      <w:r w:rsidRPr="00BB0936">
        <w:rPr>
          <w:rFonts w:ascii="Arial" w:eastAsia="Times New Roman" w:hAnsi="Arial" w:cs="Arial"/>
          <w:b/>
          <w:bCs/>
          <w:i/>
          <w:iCs/>
          <w:spacing w:val="4"/>
          <w:sz w:val="20"/>
          <w:szCs w:val="20"/>
        </w:rPr>
        <w:t xml:space="preserve">Art. 5 – </w:t>
      </w:r>
      <w:r w:rsidRPr="00BB0936">
        <w:rPr>
          <w:rFonts w:ascii="Arial" w:eastAsia="Times New Roman" w:hAnsi="Arial" w:cs="Arial"/>
          <w:spacing w:val="4"/>
          <w:sz w:val="20"/>
          <w:szCs w:val="20"/>
        </w:rPr>
        <w:t>La nomination aux fonctions énumérées à l'article premier ci-dessus est effectuée par décret sur proposition du ministre de la défense nationale en ce qui concerne les magistrats militaires et sur proposition des ministres de la justice et de la défense nationale en ce qui concerne les magistrats civils.</w:t>
      </w:r>
    </w:p>
    <w:p w14:paraId="4343C061" w14:textId="77777777" w:rsidR="00BB0936" w:rsidRPr="00BB0936" w:rsidRDefault="00BB0936" w:rsidP="00BB0936">
      <w:pPr>
        <w:widowControl w:val="0"/>
        <w:tabs>
          <w:tab w:val="left" w:pos="6336"/>
        </w:tabs>
        <w:autoSpaceDE w:val="0"/>
        <w:autoSpaceDN w:val="0"/>
        <w:adjustRightInd w:val="0"/>
        <w:spacing w:before="100" w:beforeAutospacing="1" w:after="0"/>
        <w:ind w:left="283"/>
        <w:jc w:val="both"/>
        <w:rPr>
          <w:rFonts w:ascii="Arial" w:eastAsia="Times New Roman" w:hAnsi="Arial" w:cs="Arial"/>
          <w:spacing w:val="4"/>
          <w:sz w:val="20"/>
          <w:szCs w:val="20"/>
        </w:rPr>
      </w:pPr>
      <w:r w:rsidRPr="00BB0936">
        <w:rPr>
          <w:rFonts w:ascii="Arial" w:eastAsia="Times New Roman" w:hAnsi="Arial" w:cs="Arial"/>
          <w:spacing w:val="4"/>
          <w:sz w:val="20"/>
          <w:szCs w:val="20"/>
        </w:rPr>
        <w:t>En cas de vacance survenue à l'une de ces fonctions, le ministre concerné peut par décision pourvoir à cette vacance, un décret toutefois devant être pris pour régulariser la situation dans un délai maximum de trois mois à partir de la date de la décision.</w:t>
      </w:r>
    </w:p>
    <w:p w14:paraId="19382E8B" w14:textId="77777777" w:rsidR="00BB0936" w:rsidRPr="00BB0936" w:rsidRDefault="00BB0936" w:rsidP="00BB0936">
      <w:pPr>
        <w:widowControl w:val="0"/>
        <w:tabs>
          <w:tab w:val="left" w:pos="6336"/>
        </w:tabs>
        <w:autoSpaceDE w:val="0"/>
        <w:autoSpaceDN w:val="0"/>
        <w:adjustRightInd w:val="0"/>
        <w:spacing w:before="100" w:beforeAutospacing="1" w:after="0"/>
        <w:ind w:left="283"/>
        <w:jc w:val="both"/>
        <w:rPr>
          <w:rFonts w:ascii="Arial" w:eastAsia="Times New Roman" w:hAnsi="Arial" w:cs="Arial"/>
          <w:b/>
          <w:bCs/>
          <w:i/>
          <w:iCs/>
          <w:spacing w:val="4"/>
          <w:sz w:val="20"/>
          <w:szCs w:val="20"/>
        </w:rPr>
      </w:pPr>
      <w:r w:rsidRPr="00BB0936">
        <w:rPr>
          <w:rFonts w:ascii="Arial" w:eastAsia="Times New Roman" w:hAnsi="Arial" w:cs="Arial"/>
          <w:b/>
          <w:bCs/>
          <w:i/>
          <w:iCs/>
          <w:spacing w:val="4"/>
          <w:sz w:val="20"/>
          <w:szCs w:val="20"/>
        </w:rPr>
        <w:t xml:space="preserve">Art. 6 – </w:t>
      </w:r>
      <w:r w:rsidRPr="00BB0936">
        <w:rPr>
          <w:rFonts w:ascii="Arial" w:eastAsia="Times New Roman" w:hAnsi="Arial" w:cs="Arial"/>
          <w:spacing w:val="4"/>
          <w:sz w:val="20"/>
          <w:szCs w:val="20"/>
        </w:rPr>
        <w:t>Le présent décret a un effet rétroactif pour les suppléants du président qui ont exercé leurs fonctions pendant les années judiciaires 1983-1984 et 1984-1985 et ce pour régulariser leur situation financière sur la base que la fonction du suppléant du président est équivalente à la fonction du président de chambre conformément à l'article deux du décret-loi n° 86-5 du 12 septembre 1986 indiqué ci-dessus.</w:t>
      </w:r>
    </w:p>
    <w:p w14:paraId="1B5E5427" w14:textId="77777777" w:rsidR="00BB0936" w:rsidRPr="00BB0936" w:rsidRDefault="00BB0936" w:rsidP="00BB0936">
      <w:pPr>
        <w:widowControl w:val="0"/>
        <w:tabs>
          <w:tab w:val="left" w:pos="6336"/>
        </w:tabs>
        <w:autoSpaceDE w:val="0"/>
        <w:autoSpaceDN w:val="0"/>
        <w:adjustRightInd w:val="0"/>
        <w:spacing w:before="100" w:beforeAutospacing="1" w:after="0"/>
        <w:ind w:left="283"/>
        <w:jc w:val="both"/>
        <w:rPr>
          <w:rFonts w:ascii="Arial" w:eastAsia="Times New Roman" w:hAnsi="Arial" w:cs="Arial"/>
          <w:b/>
          <w:bCs/>
          <w:i/>
          <w:iCs/>
          <w:spacing w:val="4"/>
          <w:sz w:val="20"/>
          <w:szCs w:val="20"/>
        </w:rPr>
      </w:pPr>
      <w:r w:rsidRPr="00BB0936">
        <w:rPr>
          <w:rFonts w:ascii="Arial" w:eastAsia="Times New Roman" w:hAnsi="Arial" w:cs="Arial"/>
          <w:b/>
          <w:bCs/>
          <w:i/>
          <w:iCs/>
          <w:spacing w:val="4"/>
          <w:sz w:val="20"/>
          <w:szCs w:val="20"/>
        </w:rPr>
        <w:t xml:space="preserve">Art. 7 – </w:t>
      </w:r>
      <w:r w:rsidRPr="00BB0936">
        <w:rPr>
          <w:rFonts w:ascii="Arial" w:eastAsia="Times New Roman" w:hAnsi="Arial" w:cs="Arial"/>
          <w:spacing w:val="4"/>
          <w:sz w:val="20"/>
          <w:szCs w:val="20"/>
        </w:rPr>
        <w:t>Toutes dispositions antérieures contraires au présent décret sont abrogées notamment le décret n° 81-771 du 8 juin 1981 et le décret n° 82-561 du 20 mars 1982.</w:t>
      </w:r>
    </w:p>
    <w:p w14:paraId="0CCF24DA" w14:textId="77777777" w:rsidR="00BB0936" w:rsidRPr="00BB0936" w:rsidRDefault="00BB0936" w:rsidP="00BB0936">
      <w:pPr>
        <w:widowControl w:val="0"/>
        <w:tabs>
          <w:tab w:val="left" w:pos="6336"/>
        </w:tabs>
        <w:autoSpaceDE w:val="0"/>
        <w:autoSpaceDN w:val="0"/>
        <w:adjustRightInd w:val="0"/>
        <w:spacing w:before="100" w:beforeAutospacing="1" w:after="0"/>
        <w:ind w:left="283"/>
        <w:jc w:val="both"/>
        <w:rPr>
          <w:rFonts w:ascii="Arial" w:eastAsia="Times New Roman" w:hAnsi="Arial" w:cs="Arial"/>
          <w:b/>
          <w:bCs/>
          <w:spacing w:val="4"/>
          <w:sz w:val="20"/>
          <w:szCs w:val="20"/>
        </w:rPr>
      </w:pPr>
      <w:r w:rsidRPr="00BB0936">
        <w:rPr>
          <w:rFonts w:ascii="Arial" w:eastAsia="Times New Roman" w:hAnsi="Arial" w:cs="Arial"/>
          <w:b/>
          <w:bCs/>
          <w:i/>
          <w:iCs/>
          <w:spacing w:val="4"/>
          <w:sz w:val="20"/>
          <w:szCs w:val="20"/>
        </w:rPr>
        <w:t xml:space="preserve">Art. 8 – </w:t>
      </w:r>
      <w:r w:rsidRPr="00BB0936">
        <w:rPr>
          <w:rFonts w:ascii="Arial" w:eastAsia="Times New Roman" w:hAnsi="Arial" w:cs="Arial"/>
          <w:spacing w:val="4"/>
          <w:sz w:val="20"/>
          <w:szCs w:val="20"/>
        </w:rPr>
        <w:t>Les ministres de la justice, de la défense nationale et du plan et des finances sont chargés, chacun en ce qui le concerne, de l'exécution du présent décret qui sera publié au Journal Officiel de la République tunisienne.</w:t>
      </w:r>
    </w:p>
    <w:p w14:paraId="71E6F4F2" w14:textId="5C2F0B94" w:rsidR="00E953A2" w:rsidRPr="00BB0936" w:rsidRDefault="00BB0936" w:rsidP="00BB0936">
      <w:pPr>
        <w:widowControl w:val="0"/>
        <w:tabs>
          <w:tab w:val="left" w:pos="6336"/>
        </w:tabs>
        <w:autoSpaceDE w:val="0"/>
        <w:autoSpaceDN w:val="0"/>
        <w:adjustRightInd w:val="0"/>
        <w:spacing w:before="100" w:beforeAutospacing="1" w:after="0"/>
        <w:ind w:left="283"/>
        <w:jc w:val="both"/>
        <w:rPr>
          <w:rFonts w:ascii="Arial" w:eastAsia="Times New Roman" w:hAnsi="Arial" w:cs="Arial"/>
          <w:b/>
          <w:bCs/>
          <w:i/>
          <w:iCs/>
          <w:spacing w:val="4"/>
          <w:sz w:val="20"/>
          <w:szCs w:val="20"/>
        </w:rPr>
      </w:pPr>
      <w:r>
        <w:rPr>
          <w:rFonts w:ascii="Arial" w:eastAsia="Times New Roman" w:hAnsi="Arial" w:cs="Arial"/>
          <w:b/>
          <w:bCs/>
          <w:spacing w:val="4"/>
          <w:sz w:val="20"/>
          <w:szCs w:val="20"/>
        </w:rPr>
        <w:t>Fait à Tunis, le 6 mars 1987.</w:t>
      </w:r>
    </w:p>
    <w:sectPr w:rsidR="00E953A2" w:rsidRPr="00BB0936"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52058" w14:textId="77777777" w:rsidR="00041F52" w:rsidRDefault="00041F52" w:rsidP="008F3F2D">
      <w:r>
        <w:separator/>
      </w:r>
    </w:p>
  </w:endnote>
  <w:endnote w:type="continuationSeparator" w:id="0">
    <w:p w14:paraId="53F18CA0" w14:textId="77777777" w:rsidR="00041F52" w:rsidRDefault="00041F52"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B0936">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B0936">
                            <w:rPr>
                              <w:rFonts w:ascii="Arial" w:hAnsi="Arial" w:cs="Arial"/>
                              <w:noProof/>
                              <w:sz w:val="18"/>
                              <w:szCs w:val="18"/>
                            </w:rPr>
                            <w:t>5</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B0936">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B0936">
                      <w:rPr>
                        <w:rFonts w:ascii="Arial" w:hAnsi="Arial" w:cs="Arial"/>
                        <w:noProof/>
                        <w:sz w:val="18"/>
                        <w:szCs w:val="18"/>
                      </w:rPr>
                      <w:t>5</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B093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B0936">
                            <w:rPr>
                              <w:rFonts w:ascii="Arial" w:hAnsi="Arial" w:cs="Arial"/>
                              <w:noProof/>
                              <w:sz w:val="18"/>
                              <w:szCs w:val="18"/>
                            </w:rPr>
                            <w:t>5</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B093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B0936">
                      <w:rPr>
                        <w:rFonts w:ascii="Arial" w:hAnsi="Arial" w:cs="Arial"/>
                        <w:noProof/>
                        <w:sz w:val="18"/>
                        <w:szCs w:val="18"/>
                      </w:rPr>
                      <w:t>5</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B1723" w14:textId="77777777" w:rsidR="00041F52" w:rsidRDefault="00041F52" w:rsidP="008F3F2D">
      <w:r>
        <w:separator/>
      </w:r>
    </w:p>
  </w:footnote>
  <w:footnote w:type="continuationSeparator" w:id="0">
    <w:p w14:paraId="3A53A72F" w14:textId="77777777" w:rsidR="00041F52" w:rsidRDefault="00041F52"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8D28AF"/>
    <w:multiLevelType w:val="hybridMultilevel"/>
    <w:tmpl w:val="EFA4219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FE2A59"/>
    <w:multiLevelType w:val="hybridMultilevel"/>
    <w:tmpl w:val="C3426C52"/>
    <w:lvl w:ilvl="0" w:tplc="277C42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135C45"/>
    <w:multiLevelType w:val="hybridMultilevel"/>
    <w:tmpl w:val="509CC0CC"/>
    <w:lvl w:ilvl="0" w:tplc="55EC8F12">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283C0D"/>
    <w:multiLevelType w:val="hybridMultilevel"/>
    <w:tmpl w:val="29B437F0"/>
    <w:lvl w:ilvl="0" w:tplc="FB0EDF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B042AAB"/>
    <w:multiLevelType w:val="hybridMultilevel"/>
    <w:tmpl w:val="30B87720"/>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84081D"/>
    <w:multiLevelType w:val="hybridMultilevel"/>
    <w:tmpl w:val="CEC0235C"/>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0">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1567082"/>
    <w:multiLevelType w:val="hybridMultilevel"/>
    <w:tmpl w:val="CEA4FDF0"/>
    <w:lvl w:ilvl="0" w:tplc="C8AE66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660329E"/>
    <w:multiLevelType w:val="hybridMultilevel"/>
    <w:tmpl w:val="3E9E7F9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8363271"/>
    <w:multiLevelType w:val="hybridMultilevel"/>
    <w:tmpl w:val="D1A89788"/>
    <w:lvl w:ilvl="0" w:tplc="352887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1DD5830"/>
    <w:multiLevelType w:val="hybridMultilevel"/>
    <w:tmpl w:val="0512E36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8CA1553"/>
    <w:multiLevelType w:val="hybridMultilevel"/>
    <w:tmpl w:val="7916ABD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77D7F1C"/>
    <w:multiLevelType w:val="hybridMultilevel"/>
    <w:tmpl w:val="4EA803F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7F9778F"/>
    <w:multiLevelType w:val="hybridMultilevel"/>
    <w:tmpl w:val="E70E8CE4"/>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24">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B3A508E"/>
    <w:multiLevelType w:val="hybridMultilevel"/>
    <w:tmpl w:val="A3349A72"/>
    <w:lvl w:ilvl="0" w:tplc="774410B6">
      <w:start w:val="1"/>
      <w:numFmt w:val="upperLetter"/>
      <w:lvlText w:val="%1."/>
      <w:lvlJc w:val="left"/>
      <w:pPr>
        <w:ind w:left="720" w:hanging="360"/>
      </w:pPr>
      <w:rPr>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2F8630B"/>
    <w:multiLevelType w:val="hybridMultilevel"/>
    <w:tmpl w:val="B60C874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98C5529"/>
    <w:multiLevelType w:val="hybridMultilevel"/>
    <w:tmpl w:val="2AFC8262"/>
    <w:lvl w:ilvl="0" w:tplc="979834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C0513A8"/>
    <w:multiLevelType w:val="hybridMultilevel"/>
    <w:tmpl w:val="B4247F0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abstractNum w:abstractNumId="32">
    <w:nsid w:val="7EEF5D0C"/>
    <w:multiLevelType w:val="hybridMultilevel"/>
    <w:tmpl w:val="30D4C106"/>
    <w:lvl w:ilvl="0" w:tplc="408EE8C2">
      <w:start w:val="1"/>
      <w:numFmt w:val="bullet"/>
      <w:lvlText w:val=""/>
      <w:lvlJc w:val="left"/>
      <w:pPr>
        <w:ind w:left="936" w:hanging="360"/>
      </w:pPr>
      <w:rPr>
        <w:rFonts w:ascii="Symbol" w:hAnsi="Symbol"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num w:numId="1">
    <w:abstractNumId w:val="0"/>
  </w:num>
  <w:num w:numId="2">
    <w:abstractNumId w:val="12"/>
  </w:num>
  <w:num w:numId="3">
    <w:abstractNumId w:val="26"/>
  </w:num>
  <w:num w:numId="4">
    <w:abstractNumId w:val="13"/>
  </w:num>
  <w:num w:numId="5">
    <w:abstractNumId w:val="24"/>
  </w:num>
  <w:num w:numId="6">
    <w:abstractNumId w:val="31"/>
  </w:num>
  <w:num w:numId="7">
    <w:abstractNumId w:val="19"/>
  </w:num>
  <w:num w:numId="8">
    <w:abstractNumId w:val="2"/>
  </w:num>
  <w:num w:numId="9">
    <w:abstractNumId w:val="18"/>
  </w:num>
  <w:num w:numId="10">
    <w:abstractNumId w:val="10"/>
  </w:num>
  <w:num w:numId="11">
    <w:abstractNumId w:val="8"/>
  </w:num>
  <w:num w:numId="12">
    <w:abstractNumId w:val="1"/>
  </w:num>
  <w:num w:numId="13">
    <w:abstractNumId w:val="11"/>
  </w:num>
  <w:num w:numId="14">
    <w:abstractNumId w:val="27"/>
  </w:num>
  <w:num w:numId="15">
    <w:abstractNumId w:val="17"/>
  </w:num>
  <w:num w:numId="16">
    <w:abstractNumId w:val="4"/>
  </w:num>
  <w:num w:numId="17">
    <w:abstractNumId w:val="28"/>
  </w:num>
  <w:num w:numId="18">
    <w:abstractNumId w:val="15"/>
  </w:num>
  <w:num w:numId="19">
    <w:abstractNumId w:val="7"/>
  </w:num>
  <w:num w:numId="20">
    <w:abstractNumId w:val="23"/>
  </w:num>
  <w:num w:numId="21">
    <w:abstractNumId w:val="21"/>
  </w:num>
  <w:num w:numId="22">
    <w:abstractNumId w:val="22"/>
  </w:num>
  <w:num w:numId="23">
    <w:abstractNumId w:val="9"/>
  </w:num>
  <w:num w:numId="24">
    <w:abstractNumId w:val="20"/>
  </w:num>
  <w:num w:numId="25">
    <w:abstractNumId w:val="14"/>
  </w:num>
  <w:num w:numId="26">
    <w:abstractNumId w:val="5"/>
  </w:num>
  <w:num w:numId="27">
    <w:abstractNumId w:val="6"/>
  </w:num>
  <w:num w:numId="28">
    <w:abstractNumId w:val="29"/>
  </w:num>
  <w:num w:numId="29">
    <w:abstractNumId w:val="30"/>
  </w:num>
  <w:num w:numId="30">
    <w:abstractNumId w:val="25"/>
  </w:num>
  <w:num w:numId="31">
    <w:abstractNumId w:val="16"/>
  </w:num>
  <w:num w:numId="32">
    <w:abstractNumId w:val="3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33D5E"/>
    <w:rsid w:val="00041F52"/>
    <w:rsid w:val="00061148"/>
    <w:rsid w:val="000825C4"/>
    <w:rsid w:val="000B0D20"/>
    <w:rsid w:val="000D0DE1"/>
    <w:rsid w:val="001E5DD5"/>
    <w:rsid w:val="0020398F"/>
    <w:rsid w:val="002B19EE"/>
    <w:rsid w:val="00354137"/>
    <w:rsid w:val="003B6CD4"/>
    <w:rsid w:val="00400FF9"/>
    <w:rsid w:val="00453B4B"/>
    <w:rsid w:val="005F7BF4"/>
    <w:rsid w:val="00684129"/>
    <w:rsid w:val="00724237"/>
    <w:rsid w:val="007244D3"/>
    <w:rsid w:val="0075404E"/>
    <w:rsid w:val="0089552E"/>
    <w:rsid w:val="008F3F2D"/>
    <w:rsid w:val="00957F0E"/>
    <w:rsid w:val="0097472C"/>
    <w:rsid w:val="009D613D"/>
    <w:rsid w:val="00A00644"/>
    <w:rsid w:val="00A04F09"/>
    <w:rsid w:val="00A24F23"/>
    <w:rsid w:val="00A513F9"/>
    <w:rsid w:val="00A90F21"/>
    <w:rsid w:val="00AD2268"/>
    <w:rsid w:val="00B05438"/>
    <w:rsid w:val="00B617F1"/>
    <w:rsid w:val="00BB0936"/>
    <w:rsid w:val="00C1635D"/>
    <w:rsid w:val="00C61238"/>
    <w:rsid w:val="00C64B86"/>
    <w:rsid w:val="00CC4ADF"/>
    <w:rsid w:val="00D07749"/>
    <w:rsid w:val="00E10A35"/>
    <w:rsid w:val="00E953A2"/>
    <w:rsid w:val="00EE0669"/>
    <w:rsid w:val="00F27E54"/>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A513F9"/>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BB0936"/>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A513F9"/>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BB0936"/>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1859</Words>
  <Characters>10226</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2012-12-24T10:57:00Z</cp:lastPrinted>
  <dcterms:created xsi:type="dcterms:W3CDTF">2012-12-24T13:56:00Z</dcterms:created>
  <dcterms:modified xsi:type="dcterms:W3CDTF">2012-12-24T13:56:00Z</dcterms:modified>
</cp:coreProperties>
</file>