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FCDC" w14:textId="22FE982F" w:rsidR="00E334EC" w:rsidRDefault="00E334EC" w:rsidP="00EA7276">
      <w:pPr>
        <w:spacing w:after="0"/>
        <w:ind w:left="283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p w14:paraId="002CB549" w14:textId="7BA1F2A7" w:rsidR="003D7EF4" w:rsidRDefault="003D7EF4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</w:pPr>
      <w:r w:rsidRPr="003D7EF4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Décret n°</w:t>
      </w:r>
      <w:r w:rsidR="00D65149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 </w:t>
      </w:r>
      <w:r w:rsidRPr="003D7EF4">
        <w:rPr>
          <w:rFonts w:ascii="Arial" w:eastAsia="Arial" w:hAnsi="Arial" w:cs="Times New Roman"/>
          <w:b/>
          <w:bCs/>
          <w:sz w:val="24"/>
          <w:szCs w:val="28"/>
          <w:lang w:eastAsia="en-US" w:bidi="ar-TN"/>
        </w:rPr>
        <w:t>76-843 du 23 septembre 1976, fixant le régime applicable aux membres des cabinets ministériels et les indemnités y afférentes</w:t>
      </w:r>
      <w:r>
        <w:rPr>
          <w:rStyle w:val="Appelnotedebasdep"/>
          <w:rFonts w:ascii="Arial" w:eastAsia="Arial" w:hAnsi="Arial" w:cs="Times New Roman"/>
          <w:b/>
          <w:bCs/>
          <w:sz w:val="24"/>
          <w:szCs w:val="28"/>
          <w:lang w:eastAsia="en-US" w:bidi="ar-TN"/>
        </w:rPr>
        <w:footnoteReference w:id="1"/>
      </w:r>
    </w:p>
    <w:p w14:paraId="0B5DFEB7" w14:textId="4E335230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Nous Habib Bourguiba, Président de la République Tunisienne ; </w:t>
      </w:r>
    </w:p>
    <w:p w14:paraId="05B513F2" w14:textId="0EE6F06D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>Vu le décret n°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 w:rsidRPr="00FC0D62">
        <w:rPr>
          <w:rFonts w:ascii="Arial" w:eastAsia="Arial" w:hAnsi="Arial" w:cs="Times New Roman"/>
          <w:sz w:val="20"/>
          <w:lang w:eastAsia="en-US" w:bidi="ar-TN"/>
        </w:rPr>
        <w:t>65-502 du 13 novembre 1985, portant création d’emploi de chargé de mission au soin des cabinets des secrétaires d’</w:t>
      </w:r>
      <w:r w:rsidR="00D65149">
        <w:rPr>
          <w:rFonts w:ascii="Arial" w:eastAsia="Arial" w:hAnsi="Arial" w:cs="Times New Roman"/>
          <w:sz w:val="20"/>
          <w:lang w:eastAsia="en-US" w:bidi="ar-TN"/>
        </w:rPr>
        <w:t>É</w:t>
      </w: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tat ; </w:t>
      </w:r>
    </w:p>
    <w:p w14:paraId="1CDD0B67" w14:textId="4CA22D89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>Vu le décret n°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69-427 du 28 novembre 1969, portant création d’une direction du cabinet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remier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 w:rsidRPr="00FC0D62">
        <w:rPr>
          <w:rFonts w:ascii="Arial" w:eastAsia="Arial" w:hAnsi="Arial" w:cs="Times New Roman"/>
          <w:sz w:val="20"/>
          <w:lang w:eastAsia="en-US" w:bidi="ar-TN"/>
        </w:rPr>
        <w:t>inistre et fixant les attributions du directeur du cabinet,</w:t>
      </w:r>
    </w:p>
    <w:p w14:paraId="426D7368" w14:textId="04B9B37F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>Vu le décret n°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 w:rsidRPr="00FC0D62">
        <w:rPr>
          <w:rFonts w:ascii="Arial" w:eastAsia="Arial" w:hAnsi="Arial" w:cs="Times New Roman"/>
          <w:sz w:val="20"/>
          <w:lang w:eastAsia="en-US" w:bidi="ar-TN"/>
        </w:rPr>
        <w:t>70-37 du 27 janvier 1970, fixant les effectifs et la rémunération des emplois fonctionnels des administrations centrales ;</w:t>
      </w:r>
    </w:p>
    <w:p w14:paraId="6C6766D6" w14:textId="6E31A835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Vu l’avis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inistre des </w:t>
      </w:r>
      <w:r w:rsidR="00D65149">
        <w:rPr>
          <w:rFonts w:ascii="Arial" w:eastAsia="Arial" w:hAnsi="Arial" w:cs="Times New Roman"/>
          <w:sz w:val="20"/>
          <w:lang w:eastAsia="en-US" w:bidi="ar-TN"/>
        </w:rPr>
        <w:t>F</w:t>
      </w: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inances, </w:t>
      </w:r>
    </w:p>
    <w:p w14:paraId="6253EC21" w14:textId="287207E3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Vu l’avis du tribunal administratif ; </w:t>
      </w:r>
    </w:p>
    <w:p w14:paraId="5E6A6827" w14:textId="1AA7E4ED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Sur la proposition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 w:rsidRPr="00FC0D62">
        <w:rPr>
          <w:rFonts w:ascii="Arial" w:eastAsia="Arial" w:hAnsi="Arial" w:cs="Times New Roman"/>
          <w:sz w:val="20"/>
          <w:lang w:eastAsia="en-US" w:bidi="ar-TN"/>
        </w:rPr>
        <w:t xml:space="preserve">remier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>inistre,</w:t>
      </w:r>
    </w:p>
    <w:p w14:paraId="01D19797" w14:textId="131C72BD" w:rsidR="00FC0D62" w:rsidRDefault="00FC0D62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>
        <w:rPr>
          <w:rFonts w:ascii="Arial" w:eastAsia="Arial" w:hAnsi="Arial" w:cs="Times New Roman"/>
          <w:sz w:val="20"/>
          <w:lang w:eastAsia="en-US" w:bidi="ar-TN"/>
        </w:rPr>
        <w:t>Décrétons :</w:t>
      </w:r>
    </w:p>
    <w:p w14:paraId="456A6A5E" w14:textId="6A6A98EB" w:rsidR="00FC0D62" w:rsidRPr="00EA7276" w:rsidRDefault="00FC0D62" w:rsidP="00D65149">
      <w:pPr>
        <w:spacing w:before="100" w:beforeAutospacing="1" w:after="0"/>
        <w:ind w:left="283"/>
        <w:jc w:val="center"/>
        <w:rPr>
          <w:rFonts w:ascii="Arial" w:eastAsia="Arial" w:hAnsi="Arial" w:cs="Times New Roman"/>
          <w:b/>
          <w:bCs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 xml:space="preserve">Section I – </w:t>
      </w:r>
      <w:r w:rsidR="00E76935">
        <w:rPr>
          <w:rFonts w:ascii="Arial" w:eastAsia="Arial" w:hAnsi="Arial" w:cs="Times New Roman"/>
          <w:b/>
          <w:bCs/>
          <w:sz w:val="20"/>
          <w:lang w:eastAsia="en-US" w:bidi="ar-TN"/>
        </w:rPr>
        <w:t>D</w:t>
      </w:r>
      <w:bookmarkStart w:id="0" w:name="_GoBack"/>
      <w:bookmarkEnd w:id="0"/>
      <w:r w:rsidR="00BF7278"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>ispositions générales</w:t>
      </w:r>
    </w:p>
    <w:p w14:paraId="3D8541B5" w14:textId="24A15F48" w:rsidR="00BF7278" w:rsidRDefault="00BF7278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Article premier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Le cabinet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>
        <w:rPr>
          <w:rFonts w:ascii="Arial" w:eastAsia="Arial" w:hAnsi="Arial" w:cs="Times New Roman"/>
          <w:sz w:val="20"/>
          <w:lang w:eastAsia="en-US" w:bidi="ar-TN"/>
        </w:rPr>
        <w:t xml:space="preserve">remier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>inistre comprend :</w:t>
      </w:r>
    </w:p>
    <w:p w14:paraId="6FD0A07A" w14:textId="7BD14EFA" w:rsidR="00BF7278" w:rsidRPr="00BF7278" w:rsidRDefault="00BF7278" w:rsidP="00D65149">
      <w:pPr>
        <w:pStyle w:val="Paragraphedeliste"/>
        <w:numPr>
          <w:ilvl w:val="0"/>
          <w:numId w:val="39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BF7278">
        <w:rPr>
          <w:rFonts w:ascii="Arial" w:eastAsia="Arial" w:hAnsi="Arial" w:cs="Times New Roman"/>
          <w:sz w:val="20"/>
          <w:lang w:eastAsia="en-US" w:bidi="ar-TN"/>
        </w:rPr>
        <w:t xml:space="preserve">Un directeur de cabinet </w:t>
      </w:r>
    </w:p>
    <w:p w14:paraId="6965A755" w14:textId="1F697EFE" w:rsidR="00BF7278" w:rsidRPr="00BF7278" w:rsidRDefault="00BF7278" w:rsidP="00D65149">
      <w:pPr>
        <w:pStyle w:val="Paragraphedeliste"/>
        <w:numPr>
          <w:ilvl w:val="0"/>
          <w:numId w:val="39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BF7278">
        <w:rPr>
          <w:rFonts w:ascii="Arial" w:eastAsia="Arial" w:hAnsi="Arial" w:cs="Times New Roman"/>
          <w:sz w:val="20"/>
          <w:lang w:eastAsia="en-US" w:bidi="ar-TN"/>
        </w:rPr>
        <w:t xml:space="preserve">Un chef de cabinet </w:t>
      </w:r>
    </w:p>
    <w:p w14:paraId="3E17501F" w14:textId="06F65732" w:rsidR="00BF7278" w:rsidRPr="00BF7278" w:rsidRDefault="00BF7278" w:rsidP="00D65149">
      <w:pPr>
        <w:pStyle w:val="Paragraphedeliste"/>
        <w:numPr>
          <w:ilvl w:val="0"/>
          <w:numId w:val="39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BF7278">
        <w:rPr>
          <w:rFonts w:ascii="Arial" w:eastAsia="Arial" w:hAnsi="Arial" w:cs="Times New Roman"/>
          <w:sz w:val="20"/>
          <w:lang w:eastAsia="en-US" w:bidi="ar-TN"/>
        </w:rPr>
        <w:t xml:space="preserve">Des chargés de mission </w:t>
      </w:r>
    </w:p>
    <w:p w14:paraId="0D40B898" w14:textId="1314EA2F" w:rsidR="00BF7278" w:rsidRPr="00BF7278" w:rsidRDefault="00BF7278" w:rsidP="00D65149">
      <w:pPr>
        <w:pStyle w:val="Paragraphedeliste"/>
        <w:numPr>
          <w:ilvl w:val="0"/>
          <w:numId w:val="39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BF7278">
        <w:rPr>
          <w:rFonts w:ascii="Arial" w:eastAsia="Arial" w:hAnsi="Arial" w:cs="Times New Roman"/>
          <w:sz w:val="20"/>
          <w:lang w:eastAsia="en-US" w:bidi="ar-TN"/>
        </w:rPr>
        <w:t xml:space="preserve">Des attachés de cabinet </w:t>
      </w:r>
    </w:p>
    <w:p w14:paraId="57A5EA28" w14:textId="366854A5" w:rsidR="00BF7278" w:rsidRDefault="00BF7278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2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Le cabinet de chacun des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>inistres et Secrétaires d’</w:t>
      </w:r>
      <w:r w:rsidR="00D65149">
        <w:rPr>
          <w:rFonts w:ascii="Arial" w:eastAsia="Arial" w:hAnsi="Arial" w:cs="Times New Roman"/>
          <w:sz w:val="20"/>
          <w:lang w:eastAsia="en-US" w:bidi="ar-TN"/>
        </w:rPr>
        <w:t>É</w:t>
      </w:r>
      <w:r>
        <w:rPr>
          <w:rFonts w:ascii="Arial" w:eastAsia="Arial" w:hAnsi="Arial" w:cs="Times New Roman"/>
          <w:sz w:val="20"/>
          <w:lang w:eastAsia="en-US" w:bidi="ar-TN"/>
        </w:rPr>
        <w:t>tat comprend :</w:t>
      </w:r>
    </w:p>
    <w:p w14:paraId="288E0857" w14:textId="754B3FD2" w:rsidR="00BF7278" w:rsidRPr="00EA7276" w:rsidRDefault="00BF7278" w:rsidP="00D65149">
      <w:pPr>
        <w:pStyle w:val="Paragraphedeliste"/>
        <w:numPr>
          <w:ilvl w:val="0"/>
          <w:numId w:val="40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sz w:val="20"/>
          <w:lang w:eastAsia="en-US" w:bidi="ar-TN"/>
        </w:rPr>
        <w:t xml:space="preserve">Un chef de cabinet </w:t>
      </w:r>
    </w:p>
    <w:p w14:paraId="0185639D" w14:textId="19DF79D8" w:rsidR="00BF7278" w:rsidRPr="00EA7276" w:rsidRDefault="00BF7278" w:rsidP="00D65149">
      <w:pPr>
        <w:pStyle w:val="Paragraphedeliste"/>
        <w:numPr>
          <w:ilvl w:val="0"/>
          <w:numId w:val="40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sz w:val="20"/>
          <w:lang w:eastAsia="en-US" w:bidi="ar-TN"/>
        </w:rPr>
        <w:t xml:space="preserve">Des chargés de Mission </w:t>
      </w:r>
    </w:p>
    <w:p w14:paraId="14263C2E" w14:textId="62D07D67" w:rsidR="00BF7278" w:rsidRPr="00EA7276" w:rsidRDefault="00BF7278" w:rsidP="00D65149">
      <w:pPr>
        <w:pStyle w:val="Paragraphedeliste"/>
        <w:numPr>
          <w:ilvl w:val="0"/>
          <w:numId w:val="40"/>
        </w:numPr>
        <w:spacing w:before="100" w:beforeAutospacing="1" w:after="0"/>
        <w:ind w:left="927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sz w:val="20"/>
          <w:lang w:eastAsia="en-US" w:bidi="ar-TN"/>
        </w:rPr>
        <w:t>Des attachés de cabinet</w:t>
      </w:r>
    </w:p>
    <w:p w14:paraId="3A978B87" w14:textId="04AFF1C0" w:rsidR="00BF7278" w:rsidRDefault="00BF7278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3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l’effectif des chargés de mission et d</w:t>
      </w:r>
      <w:r w:rsidR="002179A0">
        <w:rPr>
          <w:rFonts w:ascii="Arial" w:eastAsia="Arial" w:hAnsi="Arial" w:cs="Times New Roman"/>
          <w:sz w:val="20"/>
          <w:lang w:eastAsia="en-US" w:bidi="ar-TN"/>
        </w:rPr>
        <w:t>es attachés de cabinet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="002179A0">
        <w:rPr>
          <w:rFonts w:ascii="Arial" w:eastAsia="Arial" w:hAnsi="Arial" w:cs="Times New Roman"/>
          <w:sz w:val="20"/>
          <w:lang w:eastAsia="en-US" w:bidi="ar-TN"/>
        </w:rPr>
        <w:t>prévus</w:t>
      </w:r>
      <w:r>
        <w:rPr>
          <w:rFonts w:ascii="Arial" w:eastAsia="Arial" w:hAnsi="Arial" w:cs="Times New Roman"/>
          <w:sz w:val="20"/>
          <w:lang w:eastAsia="en-US" w:bidi="ar-TN"/>
        </w:rPr>
        <w:t xml:space="preserve"> aux articles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>
        <w:rPr>
          <w:rFonts w:ascii="Arial" w:eastAsia="Arial" w:hAnsi="Arial" w:cs="Times New Roman"/>
          <w:sz w:val="20"/>
          <w:lang w:eastAsia="en-US" w:bidi="ar-TN"/>
        </w:rPr>
        <w:t xml:space="preserve">1 et 2 du présent décret est fixé, pour chaque département, par décret pris après avis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 xml:space="preserve">inistre des </w:t>
      </w:r>
      <w:r w:rsidR="00D65149">
        <w:rPr>
          <w:rFonts w:ascii="Arial" w:eastAsia="Arial" w:hAnsi="Arial" w:cs="Times New Roman"/>
          <w:sz w:val="20"/>
          <w:lang w:eastAsia="en-US" w:bidi="ar-TN"/>
        </w:rPr>
        <w:t>F</w:t>
      </w:r>
      <w:r>
        <w:rPr>
          <w:rFonts w:ascii="Arial" w:eastAsia="Arial" w:hAnsi="Arial" w:cs="Times New Roman"/>
          <w:sz w:val="20"/>
          <w:lang w:eastAsia="en-US" w:bidi="ar-TN"/>
        </w:rPr>
        <w:t>inances.</w:t>
      </w:r>
    </w:p>
    <w:p w14:paraId="1C7C906A" w14:textId="01DA8002" w:rsidR="00BF7278" w:rsidRPr="002179A0" w:rsidRDefault="00BF7278" w:rsidP="00D65149">
      <w:pPr>
        <w:spacing w:before="100" w:beforeAutospacing="1" w:after="0"/>
        <w:ind w:left="283"/>
        <w:jc w:val="center"/>
        <w:rPr>
          <w:rFonts w:ascii="Arial" w:eastAsia="Arial" w:hAnsi="Arial" w:cs="Times New Roman"/>
          <w:b/>
          <w:bCs/>
          <w:sz w:val="20"/>
          <w:lang w:eastAsia="en-US" w:bidi="ar-TN"/>
        </w:rPr>
      </w:pPr>
      <w:r w:rsidRPr="002179A0">
        <w:rPr>
          <w:rFonts w:ascii="Arial" w:eastAsia="Arial" w:hAnsi="Arial" w:cs="Times New Roman"/>
          <w:b/>
          <w:bCs/>
          <w:sz w:val="20"/>
          <w:lang w:eastAsia="en-US" w:bidi="ar-TN"/>
        </w:rPr>
        <w:t>Section</w:t>
      </w:r>
      <w:r w:rsidR="00D65149"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2179A0">
        <w:rPr>
          <w:rFonts w:ascii="Arial" w:eastAsia="Arial" w:hAnsi="Arial" w:cs="Times New Roman"/>
          <w:b/>
          <w:bCs/>
          <w:sz w:val="20"/>
          <w:lang w:eastAsia="en-US" w:bidi="ar-TN"/>
        </w:rPr>
        <w:t>II – Des chefs de Cabinet et des attachés au Cabinet</w:t>
      </w:r>
    </w:p>
    <w:p w14:paraId="030B20BC" w14:textId="520BEF5B" w:rsidR="00D65149" w:rsidRDefault="00D65149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C266CA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4 (nouveau)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>Modifié par le décret n°</w:t>
      </w:r>
      <w:r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>96-2231 du 18 novembre</w:t>
      </w:r>
      <w:r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>1996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>
        <w:rPr>
          <w:rFonts w:ascii="Arial" w:eastAsia="Arial" w:hAnsi="Arial" w:cs="Times New Roman"/>
          <w:sz w:val="20"/>
          <w:lang w:eastAsia="en-US" w:bidi="ar-TN"/>
        </w:rPr>
        <w:t xml:space="preserve">Les chefs de cabinet et les attachés de cabinet sont nommés par décret sur proposition du ministre concerné parmi les </w:t>
      </w:r>
      <w:r>
        <w:rPr>
          <w:rFonts w:ascii="Arial" w:eastAsia="Arial" w:hAnsi="Arial" w:cs="Times New Roman"/>
          <w:sz w:val="20"/>
          <w:lang w:eastAsia="en-US" w:bidi="ar-TN"/>
        </w:rPr>
        <w:lastRenderedPageBreak/>
        <w:t>fonctionnaires de l’</w:t>
      </w:r>
      <w:r>
        <w:rPr>
          <w:rFonts w:ascii="Arial" w:eastAsia="Arial" w:hAnsi="Arial" w:cs="Times New Roman"/>
          <w:sz w:val="20"/>
          <w:lang w:eastAsia="en-US" w:bidi="ar-TN"/>
        </w:rPr>
        <w:t>É</w:t>
      </w:r>
      <w:r>
        <w:rPr>
          <w:rFonts w:ascii="Arial" w:eastAsia="Arial" w:hAnsi="Arial" w:cs="Times New Roman"/>
          <w:sz w:val="20"/>
          <w:lang w:eastAsia="en-US" w:bidi="ar-TN"/>
        </w:rPr>
        <w:t>tat, les collectivités locales et les établissements publics à caractère administratif ainsi que parmi les chargés de mission prévus à l’article</w:t>
      </w:r>
      <w:r>
        <w:rPr>
          <w:rFonts w:ascii="Arial" w:eastAsia="Arial" w:hAnsi="Arial" w:cs="Times New Roman"/>
          <w:sz w:val="20"/>
          <w:lang w:eastAsia="en-US" w:bidi="ar-TN"/>
        </w:rPr>
        <w:t> </w:t>
      </w:r>
      <w:r>
        <w:rPr>
          <w:rFonts w:ascii="Arial" w:eastAsia="Arial" w:hAnsi="Arial" w:cs="Times New Roman"/>
          <w:sz w:val="20"/>
          <w:lang w:eastAsia="en-US" w:bidi="ar-TN"/>
        </w:rPr>
        <w:t>8 du présent décret.</w:t>
      </w:r>
    </w:p>
    <w:p w14:paraId="7618CF2C" w14:textId="5EADE8A3" w:rsidR="00BF7278" w:rsidRDefault="00BF7278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</w:t>
      </w:r>
      <w:r w:rsidR="002179A0"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 5 –</w:t>
      </w:r>
      <w:r w:rsidR="002179A0"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="00D65149">
        <w:rPr>
          <w:rFonts w:ascii="Arial" w:eastAsia="Arial" w:hAnsi="Arial" w:cs="Times New Roman"/>
          <w:sz w:val="20"/>
          <w:lang w:eastAsia="en-US" w:bidi="ar-TN"/>
        </w:rPr>
        <w:t>L</w:t>
      </w:r>
      <w:r w:rsidR="002179A0">
        <w:rPr>
          <w:rFonts w:ascii="Arial" w:eastAsia="Arial" w:hAnsi="Arial" w:cs="Times New Roman"/>
          <w:sz w:val="20"/>
          <w:lang w:eastAsia="en-US" w:bidi="ar-TN"/>
        </w:rPr>
        <w:t>es chefs de cabinet et les attachés de cabinet conservent, pendant la durée de leur fonction le bénéficie du traitement indiciaire afférent à leurs g</w:t>
      </w:r>
      <w:r w:rsidR="00D65149">
        <w:rPr>
          <w:rFonts w:ascii="Arial" w:eastAsia="Arial" w:hAnsi="Arial" w:cs="Times New Roman"/>
          <w:sz w:val="20"/>
          <w:lang w:eastAsia="en-US" w:bidi="ar-TN"/>
        </w:rPr>
        <w:t>ra</w:t>
      </w:r>
      <w:r w:rsidR="002179A0">
        <w:rPr>
          <w:rFonts w:ascii="Arial" w:eastAsia="Arial" w:hAnsi="Arial" w:cs="Times New Roman"/>
          <w:sz w:val="20"/>
          <w:lang w:eastAsia="en-US" w:bidi="ar-TN"/>
        </w:rPr>
        <w:t>de</w:t>
      </w:r>
      <w:r w:rsidR="00D65149">
        <w:rPr>
          <w:rFonts w:ascii="Arial" w:eastAsia="Arial" w:hAnsi="Arial" w:cs="Times New Roman"/>
          <w:sz w:val="20"/>
          <w:lang w:eastAsia="en-US" w:bidi="ar-TN"/>
        </w:rPr>
        <w:t>s</w:t>
      </w:r>
      <w:r w:rsidR="002179A0">
        <w:rPr>
          <w:rFonts w:ascii="Arial" w:eastAsia="Arial" w:hAnsi="Arial" w:cs="Times New Roman"/>
          <w:sz w:val="20"/>
          <w:lang w:eastAsia="en-US" w:bidi="ar-TN"/>
        </w:rPr>
        <w:t>, s’ils ont la qualité de fonctionnaire.</w:t>
      </w:r>
    </w:p>
    <w:p w14:paraId="31F0EEA3" w14:textId="70E21B60" w:rsidR="00AC0113" w:rsidRDefault="002179A0" w:rsidP="00D65149">
      <w:pPr>
        <w:pStyle w:val="Paragraphedeliste"/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6</w:t>
      </w:r>
      <w:r w:rsidR="00AC0113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 (nouveau)</w:t>
      </w: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="00AC0113" w:rsidRPr="00AC0113">
        <w:rPr>
          <w:rFonts w:ascii="Arial" w:eastAsia="Arial" w:hAnsi="Arial" w:cs="Times New Roman"/>
          <w:b/>
          <w:bCs/>
          <w:sz w:val="20"/>
          <w:lang w:eastAsia="en-US" w:bidi="ar-TN"/>
        </w:rPr>
        <w:t>Modifié par le décret n°</w:t>
      </w:r>
      <w:r w:rsidR="00D65149"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="00AC0113" w:rsidRPr="00AC0113">
        <w:rPr>
          <w:rFonts w:ascii="Arial" w:eastAsia="Arial" w:hAnsi="Arial" w:cs="Times New Roman"/>
          <w:b/>
          <w:bCs/>
          <w:sz w:val="20"/>
          <w:lang w:eastAsia="en-US" w:bidi="ar-TN"/>
        </w:rPr>
        <w:t>2009-2251 du 22 juillet 2009 –</w:t>
      </w:r>
      <w:r w:rsidR="00AC0113"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="00AC0113" w:rsidRPr="00AC0113">
        <w:rPr>
          <w:rFonts w:ascii="Arial" w:hAnsi="Arial" w:cs="Arial"/>
          <w:sz w:val="20"/>
          <w:szCs w:val="20"/>
        </w:rPr>
        <w:t>Le montant mensuel de l</w:t>
      </w:r>
      <w:r w:rsidR="00D65149">
        <w:rPr>
          <w:rFonts w:ascii="Arial" w:hAnsi="Arial" w:cs="Arial"/>
          <w:sz w:val="20"/>
          <w:szCs w:val="20"/>
        </w:rPr>
        <w:t>’</w:t>
      </w:r>
      <w:r w:rsidR="00AC0113" w:rsidRPr="00AC0113">
        <w:rPr>
          <w:rFonts w:ascii="Arial" w:hAnsi="Arial" w:cs="Arial"/>
          <w:sz w:val="20"/>
          <w:szCs w:val="20"/>
        </w:rPr>
        <w:t>indemnité de cabinet allouée au directeur du cabinet du Premier ministre et aux chefs de cabinets ministériels ayant la qualité de fonctionnaire est fixé à 500 dinars.</w:t>
      </w:r>
    </w:p>
    <w:p w14:paraId="2627693A" w14:textId="77777777" w:rsidR="00AC0113" w:rsidRDefault="00AC0113" w:rsidP="00D65149">
      <w:pPr>
        <w:pStyle w:val="Paragraphedeliste"/>
        <w:spacing w:before="100" w:beforeAutospacing="1" w:after="0" w:line="240" w:lineRule="auto"/>
        <w:ind w:left="283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p w14:paraId="79A2385D" w14:textId="5705A10F" w:rsidR="00AC0113" w:rsidRPr="00AC0113" w:rsidRDefault="00AC0113" w:rsidP="00D65149">
      <w:pPr>
        <w:pStyle w:val="Paragraphedeliste"/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AC0113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7 (nouveau) –</w:t>
      </w:r>
      <w:r w:rsidRPr="00AC0113"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AC0113">
        <w:rPr>
          <w:rFonts w:ascii="Arial" w:eastAsia="Arial" w:hAnsi="Arial" w:cs="Times New Roman"/>
          <w:b/>
          <w:bCs/>
          <w:sz w:val="20"/>
          <w:lang w:eastAsia="en-US" w:bidi="ar-TN"/>
        </w:rPr>
        <w:t>Modifié par le décret n°</w:t>
      </w:r>
      <w:r w:rsidR="00D65149"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AC0113">
        <w:rPr>
          <w:rFonts w:ascii="Arial" w:eastAsia="Arial" w:hAnsi="Arial" w:cs="Times New Roman"/>
          <w:b/>
          <w:bCs/>
          <w:sz w:val="20"/>
          <w:lang w:eastAsia="en-US" w:bidi="ar-TN"/>
        </w:rPr>
        <w:t>91-800 du 25 mai 1991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AC0113">
        <w:rPr>
          <w:rFonts w:ascii="Arial" w:eastAsia="Arial" w:hAnsi="Arial" w:cs="Times New Roman"/>
          <w:sz w:val="20"/>
          <w:lang w:eastAsia="en-US" w:bidi="ar-TN"/>
        </w:rPr>
        <w:t>Outre la rémunération prévue à l’article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 w:rsidRPr="00AC0113">
        <w:rPr>
          <w:rFonts w:ascii="Arial" w:eastAsia="Arial" w:hAnsi="Arial" w:cs="Times New Roman"/>
          <w:sz w:val="20"/>
          <w:lang w:eastAsia="en-US" w:bidi="ar-TN"/>
        </w:rPr>
        <w:t>5 du présent décret, les attachés de cabinet bénéficient quand ils ont la qualité de fonctionnaire :</w:t>
      </w:r>
    </w:p>
    <w:p w14:paraId="5F59406B" w14:textId="77777777" w:rsidR="00AC0113" w:rsidRDefault="00AC0113" w:rsidP="00D65149">
      <w:pPr>
        <w:numPr>
          <w:ilvl w:val="0"/>
          <w:numId w:val="42"/>
        </w:numPr>
        <w:spacing w:before="100" w:beforeAutospacing="1" w:after="0" w:line="240" w:lineRule="auto"/>
        <w:ind w:left="927"/>
        <w:contextualSpacing/>
        <w:rPr>
          <w:rFonts w:ascii="Arial" w:eastAsia="Arial" w:hAnsi="Arial" w:cs="Times New Roman"/>
          <w:sz w:val="20"/>
          <w:lang w:eastAsia="en-US" w:bidi="ar-TN"/>
        </w:rPr>
      </w:pPr>
      <w:r w:rsidRPr="00AC0113">
        <w:rPr>
          <w:rFonts w:ascii="Arial" w:eastAsia="Arial" w:hAnsi="Arial" w:cs="Times New Roman"/>
          <w:sz w:val="20"/>
          <w:lang w:eastAsia="en-US" w:bidi="ar-TN"/>
        </w:rPr>
        <w:t>D’une majoration mensuelle au titre de l’indemnité spécifique qui leur est allouée au titre de leur grade d’origine détaillée comme suit :</w:t>
      </w:r>
    </w:p>
    <w:p w14:paraId="6F02C8E2" w14:textId="77777777" w:rsidR="00D65149" w:rsidRPr="00AC0113" w:rsidRDefault="00D65149" w:rsidP="00D65149">
      <w:pPr>
        <w:spacing w:before="100" w:beforeAutospacing="1" w:after="0" w:line="240" w:lineRule="auto"/>
        <w:ind w:left="927"/>
        <w:contextualSpacing/>
        <w:rPr>
          <w:rFonts w:ascii="Arial" w:eastAsia="Arial" w:hAnsi="Arial" w:cs="Times New Roman"/>
          <w:sz w:val="20"/>
          <w:lang w:eastAsia="en-US" w:bidi="ar-TN"/>
        </w:rPr>
      </w:pPr>
    </w:p>
    <w:tbl>
      <w:tblPr>
        <w:tblStyle w:val="Grilledutableau2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551"/>
      </w:tblGrid>
      <w:tr w:rsidR="00AC0113" w:rsidRPr="00AC0113" w14:paraId="4E7F00AD" w14:textId="77777777" w:rsidTr="00AC01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3A4" w14:textId="57D0A5E3" w:rsidR="00AC0113" w:rsidRPr="00AC0113" w:rsidRDefault="00D65149" w:rsidP="00AC0113">
            <w:pPr>
              <w:spacing w:before="120" w:after="0" w:line="240" w:lineRule="auto"/>
              <w:contextualSpacing/>
              <w:jc w:val="center"/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</w:pPr>
            <w:r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>À</w:t>
            </w:r>
            <w:r w:rsidR="00AC0113" w:rsidRPr="00AC0113"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 xml:space="preserve"> compter du 1/10/90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1490" w14:textId="0B0E4E79" w:rsidR="00AC0113" w:rsidRPr="00AC0113" w:rsidRDefault="00D65149" w:rsidP="00AC0113">
            <w:pPr>
              <w:spacing w:before="120" w:after="0" w:line="240" w:lineRule="auto"/>
              <w:contextualSpacing/>
              <w:jc w:val="center"/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</w:pPr>
            <w:r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>À</w:t>
            </w:r>
            <w:r w:rsidR="00AC0113" w:rsidRPr="00AC0113"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 xml:space="preserve"> compter du 1/7/91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A710" w14:textId="789D948B" w:rsidR="00AC0113" w:rsidRPr="00AC0113" w:rsidRDefault="00D65149" w:rsidP="00AC0113">
            <w:pPr>
              <w:spacing w:before="120" w:after="0" w:line="240" w:lineRule="auto"/>
              <w:contextualSpacing/>
              <w:jc w:val="center"/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</w:pPr>
            <w:r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>À</w:t>
            </w:r>
            <w:r w:rsidR="00AC0113" w:rsidRPr="00AC0113"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 xml:space="preserve"> compter du 1/7/92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E6FA" w14:textId="4C99DCEE" w:rsidR="00AC0113" w:rsidRPr="00AC0113" w:rsidRDefault="00AC0113" w:rsidP="00AC0113">
            <w:pPr>
              <w:spacing w:before="120" w:after="0" w:line="240" w:lineRule="auto"/>
              <w:contextualSpacing/>
              <w:jc w:val="center"/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</w:pPr>
            <w:r w:rsidRPr="00AC0113"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>Total de l’augment</w:t>
            </w:r>
            <w:r w:rsidRPr="00AC0113">
              <w:rPr>
                <w:rFonts w:ascii="Arial" w:eastAsia="Arial" w:hAnsi="Arial" w:cs="Times New Roman"/>
                <w:b/>
                <w:bCs/>
                <w:sz w:val="20"/>
                <w:lang w:eastAsia="en-US" w:bidi="ar-TN"/>
              </w:rPr>
              <w:t>ation</w:t>
            </w:r>
          </w:p>
        </w:tc>
      </w:tr>
      <w:tr w:rsidR="00AC0113" w:rsidRPr="00AC0113" w14:paraId="602DB25A" w14:textId="77777777" w:rsidTr="00AC011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D06D" w14:textId="0AA7B412" w:rsidR="00AC0113" w:rsidRPr="00AC0113" w:rsidRDefault="00AC0113" w:rsidP="00AC0113">
            <w:pPr>
              <w:spacing w:before="120" w:after="0" w:line="240" w:lineRule="auto"/>
              <w:ind w:left="567"/>
              <w:contextualSpacing/>
              <w:jc w:val="center"/>
              <w:rPr>
                <w:rFonts w:ascii="Arial" w:eastAsia="Arial" w:hAnsi="Arial" w:cs="Times New Roman"/>
                <w:sz w:val="20"/>
                <w:lang w:eastAsia="en-US" w:bidi="ar-TN"/>
              </w:rPr>
            </w:pPr>
            <w:r>
              <w:rPr>
                <w:rFonts w:ascii="Arial" w:eastAsia="Arial" w:hAnsi="Arial" w:cs="Times New Roman"/>
                <w:sz w:val="20"/>
                <w:lang w:eastAsia="en-US" w:bidi="ar-TN"/>
              </w:rPr>
              <w:t>10 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CECD" w14:textId="77777777" w:rsidR="00AC0113" w:rsidRPr="00AC0113" w:rsidRDefault="00AC0113" w:rsidP="00AC0113">
            <w:pPr>
              <w:spacing w:before="120" w:after="0" w:line="240" w:lineRule="auto"/>
              <w:ind w:left="567"/>
              <w:contextualSpacing/>
              <w:jc w:val="center"/>
              <w:rPr>
                <w:rFonts w:ascii="Arial" w:eastAsia="Arial" w:hAnsi="Arial" w:cs="Times New Roman"/>
                <w:sz w:val="20"/>
                <w:lang w:eastAsia="en-US" w:bidi="ar-TN"/>
              </w:rPr>
            </w:pPr>
            <w:r w:rsidRPr="00AC0113">
              <w:rPr>
                <w:rFonts w:ascii="Arial" w:eastAsia="Arial" w:hAnsi="Arial" w:cs="Times New Roman"/>
                <w:sz w:val="20"/>
                <w:lang w:eastAsia="en-US" w:bidi="ar-TN"/>
              </w:rPr>
              <w:t>10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42D9" w14:textId="77777777" w:rsidR="00AC0113" w:rsidRPr="00AC0113" w:rsidRDefault="00AC0113" w:rsidP="00AC0113">
            <w:pPr>
              <w:spacing w:before="120" w:after="0" w:line="240" w:lineRule="auto"/>
              <w:ind w:left="567"/>
              <w:contextualSpacing/>
              <w:jc w:val="center"/>
              <w:rPr>
                <w:rFonts w:ascii="Arial" w:eastAsia="Arial" w:hAnsi="Arial" w:cs="Times New Roman"/>
                <w:sz w:val="20"/>
                <w:lang w:eastAsia="en-US" w:bidi="ar-TN"/>
              </w:rPr>
            </w:pPr>
            <w:r w:rsidRPr="00AC0113">
              <w:rPr>
                <w:rFonts w:ascii="Arial" w:eastAsia="Arial" w:hAnsi="Arial" w:cs="Times New Roman"/>
                <w:sz w:val="20"/>
                <w:lang w:eastAsia="en-US" w:bidi="ar-TN"/>
              </w:rPr>
              <w:t>10 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5767" w14:textId="77777777" w:rsidR="00AC0113" w:rsidRPr="00AC0113" w:rsidRDefault="00AC0113" w:rsidP="00AC0113">
            <w:pPr>
              <w:spacing w:before="120" w:after="0" w:line="240" w:lineRule="auto"/>
              <w:ind w:left="567"/>
              <w:contextualSpacing/>
              <w:jc w:val="center"/>
              <w:rPr>
                <w:rFonts w:ascii="Arial" w:eastAsia="Arial" w:hAnsi="Arial" w:cs="Times New Roman"/>
                <w:sz w:val="20"/>
                <w:lang w:eastAsia="en-US" w:bidi="ar-TN"/>
              </w:rPr>
            </w:pPr>
            <w:r w:rsidRPr="00AC0113">
              <w:rPr>
                <w:rFonts w:ascii="Arial" w:eastAsia="Arial" w:hAnsi="Arial" w:cs="Times New Roman"/>
                <w:sz w:val="20"/>
                <w:lang w:eastAsia="en-US" w:bidi="ar-TN"/>
              </w:rPr>
              <w:t>30 D</w:t>
            </w:r>
          </w:p>
        </w:tc>
      </w:tr>
    </w:tbl>
    <w:p w14:paraId="54201FC7" w14:textId="0DB2C7B0" w:rsidR="00AC0113" w:rsidRPr="00AC0113" w:rsidRDefault="00AC0113" w:rsidP="00D65149">
      <w:pPr>
        <w:numPr>
          <w:ilvl w:val="0"/>
          <w:numId w:val="42"/>
        </w:numPr>
        <w:spacing w:before="100" w:beforeAutospacing="1" w:after="0" w:line="240" w:lineRule="auto"/>
        <w:ind w:left="927"/>
        <w:contextualSpacing/>
        <w:rPr>
          <w:rFonts w:ascii="Arial" w:eastAsia="Arial" w:hAnsi="Arial" w:cs="Times New Roman"/>
          <w:sz w:val="20"/>
          <w:lang w:eastAsia="en-US" w:bidi="ar-TN"/>
        </w:rPr>
      </w:pPr>
      <w:r w:rsidRPr="00AC0113">
        <w:rPr>
          <w:rFonts w:ascii="Arial" w:eastAsia="Arial" w:hAnsi="Arial" w:cs="Times New Roman"/>
          <w:sz w:val="20"/>
          <w:lang w:eastAsia="en-US" w:bidi="ar-TN"/>
        </w:rPr>
        <w:t>D’une indemnité mensuelle</w:t>
      </w:r>
      <w:r>
        <w:rPr>
          <w:rFonts w:ascii="Arial" w:eastAsia="Arial" w:hAnsi="Arial" w:cs="Times New Roman"/>
          <w:sz w:val="20"/>
          <w:lang w:eastAsia="en-US" w:bidi="ar-TN"/>
        </w:rPr>
        <w:t> </w:t>
      </w:r>
      <w:r w:rsidRPr="00AC0113">
        <w:rPr>
          <w:rFonts w:ascii="Arial" w:eastAsia="Arial" w:hAnsi="Arial" w:cs="Times New Roman"/>
          <w:sz w:val="20"/>
          <w:lang w:eastAsia="en-US" w:bidi="ar-TN"/>
        </w:rPr>
        <w:t xml:space="preserve">de cabinet fixée </w:t>
      </w:r>
      <w:r w:rsidRPr="00AC0113">
        <w:rPr>
          <w:rFonts w:ascii="Arial" w:eastAsia="Arial" w:hAnsi="Arial" w:cs="Times New Roman"/>
          <w:sz w:val="20"/>
          <w:lang w:eastAsia="en-US" w:bidi="ar-TN"/>
        </w:rPr>
        <w:t>à 260 dinars</w:t>
      </w:r>
      <w:r>
        <w:rPr>
          <w:rStyle w:val="Appelnotedebasdep"/>
          <w:rFonts w:ascii="Arial" w:eastAsia="Arial" w:hAnsi="Arial" w:cs="Times New Roman"/>
          <w:sz w:val="20"/>
          <w:lang w:eastAsia="en-US" w:bidi="ar-TN"/>
        </w:rPr>
        <w:footnoteReference w:id="2"/>
      </w:r>
      <w:r>
        <w:rPr>
          <w:rFonts w:ascii="Arial" w:eastAsia="Arial" w:hAnsi="Arial" w:cs="Times New Roman"/>
          <w:sz w:val="20"/>
          <w:lang w:eastAsia="en-US" w:bidi="ar-TN"/>
        </w:rPr>
        <w:t>.</w:t>
      </w:r>
    </w:p>
    <w:p w14:paraId="59418996" w14:textId="2157F5C8" w:rsidR="00AC0113" w:rsidRPr="00AC0113" w:rsidRDefault="00AC0113" w:rsidP="00D65149">
      <w:pPr>
        <w:numPr>
          <w:ilvl w:val="0"/>
          <w:numId w:val="42"/>
        </w:numPr>
        <w:spacing w:before="100" w:beforeAutospacing="1" w:after="0" w:line="240" w:lineRule="auto"/>
        <w:ind w:left="927"/>
        <w:contextualSpacing/>
        <w:rPr>
          <w:rFonts w:ascii="Arial" w:eastAsia="Arial" w:hAnsi="Arial" w:cs="Times New Roman"/>
          <w:sz w:val="20"/>
          <w:lang w:eastAsia="en-US" w:bidi="ar-TN"/>
        </w:rPr>
      </w:pPr>
      <w:r w:rsidRPr="00AC0113">
        <w:rPr>
          <w:rFonts w:ascii="Arial" w:eastAsia="Arial" w:hAnsi="Arial" w:cs="Times New Roman"/>
          <w:sz w:val="20"/>
          <w:lang w:eastAsia="en-US" w:bidi="ar-TN"/>
        </w:rPr>
        <w:t xml:space="preserve">Et d’une indemnité kilométrique dont le taux est fixé par arrêté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 w:rsidRPr="00AC0113">
        <w:rPr>
          <w:rFonts w:ascii="Arial" w:eastAsia="Arial" w:hAnsi="Arial" w:cs="Times New Roman"/>
          <w:sz w:val="20"/>
          <w:lang w:eastAsia="en-US" w:bidi="ar-TN"/>
        </w:rPr>
        <w:t xml:space="preserve">remier ministre après avis du ministre des </w:t>
      </w:r>
      <w:r w:rsidR="00D65149">
        <w:rPr>
          <w:rFonts w:ascii="Arial" w:eastAsia="Arial" w:hAnsi="Arial" w:cs="Times New Roman"/>
          <w:sz w:val="20"/>
          <w:lang w:eastAsia="en-US" w:bidi="ar-TN"/>
        </w:rPr>
        <w:t>F</w:t>
      </w:r>
      <w:r w:rsidRPr="00AC0113">
        <w:rPr>
          <w:rFonts w:ascii="Arial" w:eastAsia="Arial" w:hAnsi="Arial" w:cs="Times New Roman"/>
          <w:sz w:val="20"/>
          <w:lang w:eastAsia="en-US" w:bidi="ar-TN"/>
        </w:rPr>
        <w:t>inances.</w:t>
      </w:r>
    </w:p>
    <w:p w14:paraId="626061C7" w14:textId="4AFF1F1C" w:rsidR="002179A0" w:rsidRPr="00EA7276" w:rsidRDefault="002179A0" w:rsidP="00D65149">
      <w:pPr>
        <w:spacing w:before="100" w:beforeAutospacing="1" w:after="0"/>
        <w:ind w:left="283"/>
        <w:jc w:val="center"/>
        <w:rPr>
          <w:rFonts w:ascii="Arial" w:eastAsia="Arial" w:hAnsi="Arial" w:cs="Times New Roman"/>
          <w:b/>
          <w:bCs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>Section</w:t>
      </w:r>
      <w:r w:rsidR="00D65149"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 xml:space="preserve">III – Des chargés de </w:t>
      </w:r>
      <w:r w:rsidR="00AC0113">
        <w:rPr>
          <w:rFonts w:ascii="Arial" w:eastAsia="Arial" w:hAnsi="Arial" w:cs="Times New Roman"/>
          <w:b/>
          <w:bCs/>
          <w:sz w:val="20"/>
          <w:lang w:eastAsia="en-US" w:bidi="ar-TN"/>
        </w:rPr>
        <w:t>m</w:t>
      </w: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>ission</w:t>
      </w:r>
    </w:p>
    <w:p w14:paraId="2B0CE9E2" w14:textId="568388E3" w:rsidR="00D65149" w:rsidRDefault="00D65149" w:rsidP="00D65149">
      <w:pPr>
        <w:spacing w:before="100" w:beforeAutospacing="1"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783919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Art. 8 </w:t>
      </w:r>
      <w:r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(nouveau) </w:t>
      </w:r>
      <w:r w:rsidRPr="00783919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>Modifié par le décret n°</w:t>
      </w:r>
      <w:r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>77-49 du 12 janvier 1977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</w:t>
      </w:r>
      <w:r>
        <w:rPr>
          <w:rFonts w:ascii="Arial" w:eastAsia="Arial" w:hAnsi="Arial" w:cs="Times New Roman"/>
          <w:sz w:val="20"/>
          <w:lang w:eastAsia="en-US" w:bidi="ar-TN"/>
        </w:rPr>
        <w:t>Les chargés de mission sont choisis parmi les agents n’ayant pas la qualité de fonctionnaire.</w:t>
      </w:r>
    </w:p>
    <w:p w14:paraId="21AA973B" w14:textId="77777777" w:rsidR="00D65149" w:rsidRDefault="00D65149" w:rsidP="00D65149">
      <w:pPr>
        <w:spacing w:before="100" w:beforeAutospacing="1"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>
        <w:rPr>
          <w:rFonts w:ascii="Arial" w:eastAsia="Arial" w:hAnsi="Arial" w:cs="Times New Roman"/>
          <w:sz w:val="20"/>
          <w:lang w:eastAsia="en-US" w:bidi="ar-TN"/>
        </w:rPr>
        <w:t>Ils sont désignés par décret sur proposition du ministre ou du secrétaire d’État intéressé.</w:t>
      </w:r>
    </w:p>
    <w:p w14:paraId="0B875F20" w14:textId="287873D9" w:rsidR="002179A0" w:rsidRDefault="002179A0" w:rsidP="00D65149">
      <w:pPr>
        <w:spacing w:before="100" w:beforeAutospacing="1" w:after="0" w:line="240" w:lineRule="auto"/>
        <w:ind w:left="284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AC0113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9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Ils peuvent être chargés d’un emploi de membre de cabinet, de la direction d’</w:t>
      </w:r>
      <w:r w:rsidR="00423FD8">
        <w:rPr>
          <w:rFonts w:ascii="Arial" w:eastAsia="Arial" w:hAnsi="Arial" w:cs="Times New Roman"/>
          <w:sz w:val="20"/>
          <w:lang w:eastAsia="en-US" w:bidi="ar-TN"/>
        </w:rPr>
        <w:t>un ou de plusieurs services publics ou d’une entreprise publique. Dans ces cas, leur rémunération est fixée par référence aux indemnités et avantages afférents à l’emploi qu’ils occupent.</w:t>
      </w:r>
    </w:p>
    <w:p w14:paraId="157B921B" w14:textId="21715BDD" w:rsidR="00423FD8" w:rsidRDefault="00423FD8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</w:t>
      </w:r>
      <w:r w:rsidR="00D65149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. </w:t>
      </w: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10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Les chargés de mission bénéficient d’une rémunération forfaitaire </w:t>
      </w:r>
      <w:r w:rsidR="00A93466">
        <w:rPr>
          <w:rFonts w:ascii="Arial" w:eastAsia="Arial" w:hAnsi="Arial" w:cs="Times New Roman"/>
          <w:sz w:val="20"/>
          <w:lang w:eastAsia="en-US" w:bidi="ar-TN"/>
        </w:rPr>
        <w:t>fixée</w:t>
      </w:r>
      <w:r>
        <w:rPr>
          <w:rFonts w:ascii="Arial" w:eastAsia="Arial" w:hAnsi="Arial" w:cs="Times New Roman"/>
          <w:sz w:val="20"/>
          <w:lang w:eastAsia="en-US" w:bidi="ar-TN"/>
        </w:rPr>
        <w:t xml:space="preserve">, dans chaque cas, par arrêté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>
        <w:rPr>
          <w:rFonts w:ascii="Arial" w:eastAsia="Arial" w:hAnsi="Arial" w:cs="Times New Roman"/>
          <w:sz w:val="20"/>
          <w:lang w:eastAsia="en-US" w:bidi="ar-TN"/>
        </w:rPr>
        <w:t xml:space="preserve">remier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>inistre compté tenu de leurs diplômes et titres universitaires, de leur expérience et de leurs responsabilités assumées antérieurement à leur nomination en cette qualité.</w:t>
      </w:r>
    </w:p>
    <w:p w14:paraId="2AA7B0D7" w14:textId="746725F9" w:rsidR="00423FD8" w:rsidRDefault="00423FD8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11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Outre la rémunération prévue à l’article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>
        <w:rPr>
          <w:rFonts w:ascii="Arial" w:eastAsia="Arial" w:hAnsi="Arial" w:cs="Times New Roman"/>
          <w:sz w:val="20"/>
          <w:lang w:eastAsia="en-US" w:bidi="ar-TN"/>
        </w:rPr>
        <w:t xml:space="preserve">10 du </w:t>
      </w:r>
      <w:r w:rsidR="00A93466">
        <w:rPr>
          <w:rFonts w:ascii="Arial" w:eastAsia="Arial" w:hAnsi="Arial" w:cs="Times New Roman"/>
          <w:sz w:val="20"/>
          <w:lang w:eastAsia="en-US" w:bidi="ar-TN"/>
        </w:rPr>
        <w:t>présent</w:t>
      </w:r>
      <w:r>
        <w:rPr>
          <w:rFonts w:ascii="Arial" w:eastAsia="Arial" w:hAnsi="Arial" w:cs="Times New Roman"/>
          <w:sz w:val="20"/>
          <w:lang w:eastAsia="en-US" w:bidi="ar-TN"/>
        </w:rPr>
        <w:t xml:space="preserve"> décret, les chargés de Mission bénéficient d’une </w:t>
      </w:r>
      <w:r w:rsidR="00A93466">
        <w:rPr>
          <w:rFonts w:ascii="Arial" w:eastAsia="Arial" w:hAnsi="Arial" w:cs="Times New Roman"/>
          <w:sz w:val="20"/>
          <w:lang w:eastAsia="en-US" w:bidi="ar-TN"/>
        </w:rPr>
        <w:t>indemnité</w:t>
      </w:r>
      <w:r>
        <w:rPr>
          <w:rFonts w:ascii="Arial" w:eastAsia="Arial" w:hAnsi="Arial" w:cs="Times New Roman"/>
          <w:sz w:val="20"/>
          <w:lang w:eastAsia="en-US" w:bidi="ar-TN"/>
        </w:rPr>
        <w:t xml:space="preserve"> de cabinet et d’une </w:t>
      </w:r>
      <w:r w:rsidR="00A93466">
        <w:rPr>
          <w:rFonts w:ascii="Arial" w:eastAsia="Arial" w:hAnsi="Arial" w:cs="Times New Roman"/>
          <w:sz w:val="20"/>
          <w:lang w:eastAsia="en-US" w:bidi="ar-TN"/>
        </w:rPr>
        <w:t>indemnité</w:t>
      </w:r>
      <w:r>
        <w:rPr>
          <w:rFonts w:ascii="Arial" w:eastAsia="Arial" w:hAnsi="Arial" w:cs="Times New Roman"/>
          <w:sz w:val="20"/>
          <w:lang w:eastAsia="en-US" w:bidi="ar-TN"/>
        </w:rPr>
        <w:t xml:space="preserve"> forfaitaire </w:t>
      </w:r>
      <w:r w:rsidR="00A93466">
        <w:rPr>
          <w:rFonts w:ascii="Arial" w:eastAsia="Arial" w:hAnsi="Arial" w:cs="Times New Roman"/>
          <w:sz w:val="20"/>
          <w:lang w:eastAsia="en-US" w:bidi="ar-TN"/>
        </w:rPr>
        <w:t>kilométrique</w:t>
      </w:r>
      <w:r>
        <w:rPr>
          <w:rFonts w:ascii="Arial" w:eastAsia="Arial" w:hAnsi="Arial" w:cs="Times New Roman"/>
          <w:sz w:val="20"/>
          <w:lang w:eastAsia="en-US" w:bidi="ar-TN"/>
        </w:rPr>
        <w:t xml:space="preserve"> dont le </w:t>
      </w:r>
      <w:r w:rsidR="00A93466">
        <w:rPr>
          <w:rFonts w:ascii="Arial" w:eastAsia="Arial" w:hAnsi="Arial" w:cs="Times New Roman"/>
          <w:sz w:val="20"/>
          <w:lang w:eastAsia="en-US" w:bidi="ar-TN"/>
        </w:rPr>
        <w:t>taux est</w:t>
      </w:r>
      <w:r>
        <w:rPr>
          <w:rFonts w:ascii="Arial" w:eastAsia="Arial" w:hAnsi="Arial" w:cs="Times New Roman"/>
          <w:sz w:val="20"/>
          <w:lang w:eastAsia="en-US" w:bidi="ar-TN"/>
        </w:rPr>
        <w:t xml:space="preserve"> fixé par arrêté </w:t>
      </w:r>
      <w:r w:rsidR="00A93466">
        <w:rPr>
          <w:rFonts w:ascii="Arial" w:eastAsia="Arial" w:hAnsi="Arial" w:cs="Times New Roman"/>
          <w:sz w:val="20"/>
          <w:lang w:eastAsia="en-US" w:bidi="ar-TN"/>
        </w:rPr>
        <w:t xml:space="preserve">du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 w:rsidR="00A93466">
        <w:rPr>
          <w:rFonts w:ascii="Arial" w:eastAsia="Arial" w:hAnsi="Arial" w:cs="Times New Roman"/>
          <w:sz w:val="20"/>
          <w:lang w:eastAsia="en-US" w:bidi="ar-TN"/>
        </w:rPr>
        <w:t xml:space="preserve">remier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 w:rsidR="00A93466">
        <w:rPr>
          <w:rFonts w:ascii="Arial" w:eastAsia="Arial" w:hAnsi="Arial" w:cs="Times New Roman"/>
          <w:sz w:val="20"/>
          <w:lang w:eastAsia="en-US" w:bidi="ar-TN"/>
        </w:rPr>
        <w:t xml:space="preserve">inistre pris après avis du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 w:rsidR="00A93466">
        <w:rPr>
          <w:rFonts w:ascii="Arial" w:eastAsia="Arial" w:hAnsi="Arial" w:cs="Times New Roman"/>
          <w:sz w:val="20"/>
          <w:lang w:eastAsia="en-US" w:bidi="ar-TN"/>
        </w:rPr>
        <w:t xml:space="preserve">inistre des </w:t>
      </w:r>
      <w:r w:rsidR="00D65149">
        <w:rPr>
          <w:rFonts w:ascii="Arial" w:eastAsia="Arial" w:hAnsi="Arial" w:cs="Times New Roman"/>
          <w:sz w:val="20"/>
          <w:lang w:eastAsia="en-US" w:bidi="ar-TN"/>
        </w:rPr>
        <w:t>F</w:t>
      </w:r>
      <w:r w:rsidR="00A93466">
        <w:rPr>
          <w:rFonts w:ascii="Arial" w:eastAsia="Arial" w:hAnsi="Arial" w:cs="Times New Roman"/>
          <w:sz w:val="20"/>
          <w:lang w:eastAsia="en-US" w:bidi="ar-TN"/>
        </w:rPr>
        <w:t>inances.</w:t>
      </w:r>
    </w:p>
    <w:p w14:paraId="4856463D" w14:textId="1B0A5D06" w:rsidR="00EA7276" w:rsidRDefault="00A93466" w:rsidP="00D65149">
      <w:pPr>
        <w:spacing w:before="100" w:beforeAutospacing="1" w:after="0"/>
        <w:ind w:left="283"/>
        <w:jc w:val="center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>Section</w:t>
      </w:r>
      <w:r w:rsidR="00D65149"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>IV – Dispositions diverses</w:t>
      </w:r>
    </w:p>
    <w:p w14:paraId="76565A74" w14:textId="49CD522E" w:rsidR="00D65149" w:rsidRDefault="00A93466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 xml:space="preserve">Art. 12 – </w:t>
      </w:r>
      <w:r>
        <w:rPr>
          <w:rFonts w:ascii="Arial" w:eastAsia="Arial" w:hAnsi="Arial" w:cs="Times New Roman"/>
          <w:sz w:val="20"/>
          <w:lang w:eastAsia="en-US" w:bidi="ar-TN"/>
        </w:rPr>
        <w:t>Les rémunérations et indemnités alloué</w:t>
      </w:r>
      <w:r w:rsidR="00D65149">
        <w:rPr>
          <w:rFonts w:ascii="Arial" w:eastAsia="Arial" w:hAnsi="Arial" w:cs="Times New Roman"/>
          <w:sz w:val="20"/>
          <w:lang w:eastAsia="en-US" w:bidi="ar-TN"/>
        </w:rPr>
        <w:t>e</w:t>
      </w:r>
      <w:r>
        <w:rPr>
          <w:rFonts w:ascii="Arial" w:eastAsia="Arial" w:hAnsi="Arial" w:cs="Times New Roman"/>
          <w:sz w:val="20"/>
          <w:lang w:eastAsia="en-US" w:bidi="ar-TN"/>
        </w:rPr>
        <w:t>s aux membres des cabinets, dans les conditions prévues par le présent décret, sont payables mensuellement et à terme échu et subissent les mêmes retenus que celles applicables aux éléments de rémunération des agents publics à l’exception, toutefois, de l’indemnité de cabinet qui n’est pas soumise à retenue pour pension de retraite.</w:t>
      </w:r>
    </w:p>
    <w:p w14:paraId="39C639A8" w14:textId="3D3043CF" w:rsidR="00D65149" w:rsidRDefault="00D65149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lastRenderedPageBreak/>
        <w:t xml:space="preserve">Art. 12 bis – </w:t>
      </w:r>
      <w:r>
        <w:rPr>
          <w:rFonts w:ascii="Arial" w:eastAsia="Arial" w:hAnsi="Arial" w:cs="Times New Roman"/>
          <w:b/>
          <w:bCs/>
          <w:sz w:val="20"/>
          <w:lang w:eastAsia="en-US" w:bidi="ar-TN"/>
        </w:rPr>
        <w:t>A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>jouté par le décret n°</w:t>
      </w:r>
      <w:r>
        <w:rPr>
          <w:rFonts w:ascii="Arial" w:eastAsia="Arial" w:hAnsi="Arial" w:cs="Times New Roman"/>
          <w:b/>
          <w:bCs/>
          <w:sz w:val="20"/>
          <w:lang w:eastAsia="en-US" w:bidi="ar-TN"/>
        </w:rPr>
        <w:t> </w:t>
      </w:r>
      <w:r w:rsidRPr="00D65149">
        <w:rPr>
          <w:rFonts w:ascii="Arial" w:eastAsia="Arial" w:hAnsi="Arial" w:cs="Times New Roman"/>
          <w:b/>
          <w:bCs/>
          <w:sz w:val="20"/>
          <w:lang w:eastAsia="en-US" w:bidi="ar-TN"/>
        </w:rPr>
        <w:t xml:space="preserve">77-49 du 12 janvier 1977 – </w:t>
      </w:r>
      <w:r>
        <w:rPr>
          <w:rFonts w:ascii="Arial" w:eastAsia="Arial" w:hAnsi="Arial" w:cs="Times New Roman"/>
          <w:sz w:val="20"/>
          <w:lang w:eastAsia="en-US" w:bidi="ar-TN"/>
        </w:rPr>
        <w:t>Les membres des cabinets ministériels en fonction à la date de publication du présent décret et nantis d’un emploi fonctionnel peuvent conserver, à titre personnel les avantages et indemnités résultant des dispositions du décret susvisé n° </w:t>
      </w:r>
      <w:r>
        <w:rPr>
          <w:rFonts w:ascii="Arial" w:eastAsia="Arial" w:hAnsi="Arial" w:cs="Times New Roman"/>
          <w:sz w:val="20"/>
          <w:lang w:eastAsia="en-US" w:bidi="ar-TN"/>
        </w:rPr>
        <w:t>70-37 du 27 janvier 1970.</w:t>
      </w:r>
    </w:p>
    <w:p w14:paraId="2A395E44" w14:textId="26C46BAF" w:rsidR="00D65149" w:rsidRDefault="00A93466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13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Toutes dispositions antérieur</w:t>
      </w:r>
      <w:r w:rsidR="00D65149">
        <w:rPr>
          <w:rFonts w:ascii="Arial" w:eastAsia="Arial" w:hAnsi="Arial" w:cs="Times New Roman"/>
          <w:sz w:val="20"/>
          <w:lang w:eastAsia="en-US" w:bidi="ar-TN"/>
        </w:rPr>
        <w:t>e</w:t>
      </w:r>
      <w:r>
        <w:rPr>
          <w:rFonts w:ascii="Arial" w:eastAsia="Arial" w:hAnsi="Arial" w:cs="Times New Roman"/>
          <w:sz w:val="20"/>
          <w:lang w:eastAsia="en-US" w:bidi="ar-TN"/>
        </w:rPr>
        <w:t xml:space="preserve">s </w:t>
      </w:r>
      <w:r w:rsidR="00EA7276">
        <w:rPr>
          <w:rFonts w:ascii="Arial" w:eastAsia="Arial" w:hAnsi="Arial" w:cs="Times New Roman"/>
          <w:sz w:val="20"/>
          <w:lang w:eastAsia="en-US" w:bidi="ar-TN"/>
        </w:rPr>
        <w:t>contraires au présent décret sont abrogées et notamment les décrets susvisé n°</w:t>
      </w:r>
      <w:r w:rsidR="00D65149">
        <w:rPr>
          <w:rFonts w:ascii="Arial" w:eastAsia="Arial" w:hAnsi="Arial" w:cs="Times New Roman"/>
          <w:sz w:val="20"/>
          <w:lang w:eastAsia="en-US" w:bidi="ar-TN"/>
        </w:rPr>
        <w:t> </w:t>
      </w:r>
      <w:r w:rsidR="00EA7276">
        <w:rPr>
          <w:rFonts w:ascii="Arial" w:eastAsia="Arial" w:hAnsi="Arial" w:cs="Times New Roman"/>
          <w:sz w:val="20"/>
          <w:lang w:eastAsia="en-US" w:bidi="ar-TN"/>
        </w:rPr>
        <w:t>65-602 du 13 décembre 1965 et 70-37 du 27 janvier 1970.</w:t>
      </w:r>
    </w:p>
    <w:p w14:paraId="223AE198" w14:textId="6D246E64" w:rsidR="00D65149" w:rsidRDefault="00EA7276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  <w:t>Art. 14 –</w:t>
      </w:r>
      <w:r>
        <w:rPr>
          <w:rFonts w:ascii="Arial" w:eastAsia="Arial" w:hAnsi="Arial" w:cs="Times New Roman"/>
          <w:sz w:val="20"/>
          <w:lang w:eastAsia="en-US" w:bidi="ar-TN"/>
        </w:rPr>
        <w:t xml:space="preserve"> Le </w:t>
      </w:r>
      <w:r w:rsidR="00D65149">
        <w:rPr>
          <w:rFonts w:ascii="Arial" w:eastAsia="Arial" w:hAnsi="Arial" w:cs="Times New Roman"/>
          <w:sz w:val="20"/>
          <w:lang w:eastAsia="en-US" w:bidi="ar-TN"/>
        </w:rPr>
        <w:t>P</w:t>
      </w:r>
      <w:r>
        <w:rPr>
          <w:rFonts w:ascii="Arial" w:eastAsia="Arial" w:hAnsi="Arial" w:cs="Times New Roman"/>
          <w:sz w:val="20"/>
          <w:lang w:eastAsia="en-US" w:bidi="ar-TN"/>
        </w:rPr>
        <w:t xml:space="preserve">remier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 xml:space="preserve">inistre, les </w:t>
      </w:r>
      <w:r w:rsidR="00D65149">
        <w:rPr>
          <w:rFonts w:ascii="Arial" w:eastAsia="Arial" w:hAnsi="Arial" w:cs="Times New Roman"/>
          <w:sz w:val="20"/>
          <w:lang w:eastAsia="en-US" w:bidi="ar-TN"/>
        </w:rPr>
        <w:t>m</w:t>
      </w:r>
      <w:r>
        <w:rPr>
          <w:rFonts w:ascii="Arial" w:eastAsia="Arial" w:hAnsi="Arial" w:cs="Times New Roman"/>
          <w:sz w:val="20"/>
          <w:lang w:eastAsia="en-US" w:bidi="ar-TN"/>
        </w:rPr>
        <w:t>inistres et Secrétaire</w:t>
      </w:r>
      <w:r w:rsidR="00D65149">
        <w:rPr>
          <w:rFonts w:ascii="Arial" w:eastAsia="Arial" w:hAnsi="Arial" w:cs="Times New Roman"/>
          <w:sz w:val="20"/>
          <w:lang w:eastAsia="en-US" w:bidi="ar-TN"/>
        </w:rPr>
        <w:t>s</w:t>
      </w:r>
      <w:r>
        <w:rPr>
          <w:rFonts w:ascii="Arial" w:eastAsia="Arial" w:hAnsi="Arial" w:cs="Times New Roman"/>
          <w:sz w:val="20"/>
          <w:lang w:eastAsia="en-US" w:bidi="ar-TN"/>
        </w:rPr>
        <w:t xml:space="preserve"> d’</w:t>
      </w:r>
      <w:r w:rsidR="00D65149">
        <w:rPr>
          <w:rFonts w:ascii="Arial" w:eastAsia="Arial" w:hAnsi="Arial" w:cs="Times New Roman"/>
          <w:sz w:val="20"/>
          <w:lang w:eastAsia="en-US" w:bidi="ar-TN"/>
        </w:rPr>
        <w:t>É</w:t>
      </w:r>
      <w:r>
        <w:rPr>
          <w:rFonts w:ascii="Arial" w:eastAsia="Arial" w:hAnsi="Arial" w:cs="Times New Roman"/>
          <w:sz w:val="20"/>
          <w:lang w:eastAsia="en-US" w:bidi="ar-TN"/>
        </w:rPr>
        <w:t>tat sont chargés chacun en ce qui le concerne, de l’exécution du présent décret qui sera publié au Journal Officiel de la République Tunisienne.</w:t>
      </w:r>
    </w:p>
    <w:p w14:paraId="1C57DF93" w14:textId="47ED3DB0" w:rsidR="00EA7276" w:rsidRPr="00D65149" w:rsidRDefault="00EA7276" w:rsidP="00D65149">
      <w:pPr>
        <w:spacing w:before="100" w:beforeAutospacing="1"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 w:rsidRPr="00EA7276">
        <w:rPr>
          <w:rFonts w:ascii="Arial" w:eastAsia="Arial" w:hAnsi="Arial" w:cs="Times New Roman"/>
          <w:b/>
          <w:bCs/>
          <w:sz w:val="20"/>
          <w:lang w:eastAsia="en-US" w:bidi="ar-TN"/>
        </w:rPr>
        <w:t>Tunis, le 23 septembre 1976.</w:t>
      </w:r>
    </w:p>
    <w:p w14:paraId="6DF9EED6" w14:textId="73646EFD" w:rsidR="002179A0" w:rsidRDefault="00D65149" w:rsidP="00D65149">
      <w:pPr>
        <w:tabs>
          <w:tab w:val="left" w:pos="3240"/>
        </w:tabs>
        <w:spacing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  <w:r>
        <w:rPr>
          <w:rFonts w:ascii="Arial" w:eastAsia="Arial" w:hAnsi="Arial" w:cs="Times New Roman"/>
          <w:sz w:val="20"/>
          <w:lang w:eastAsia="en-US" w:bidi="ar-TN"/>
        </w:rPr>
        <w:tab/>
      </w:r>
    </w:p>
    <w:p w14:paraId="2F67EB1B" w14:textId="77777777" w:rsidR="002179A0" w:rsidRPr="00FC0D62" w:rsidRDefault="002179A0" w:rsidP="00EA7276">
      <w:pPr>
        <w:spacing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328D7295" w14:textId="77777777" w:rsidR="00FC0D62" w:rsidRPr="00FC0D62" w:rsidRDefault="00FC0D62" w:rsidP="00EA7276">
      <w:pPr>
        <w:spacing w:after="0"/>
        <w:ind w:left="283"/>
        <w:jc w:val="both"/>
        <w:rPr>
          <w:rFonts w:ascii="Arial" w:eastAsia="Arial" w:hAnsi="Arial" w:cs="Times New Roman"/>
          <w:sz w:val="20"/>
          <w:lang w:eastAsia="en-US" w:bidi="ar-TN"/>
        </w:rPr>
      </w:pPr>
    </w:p>
    <w:p w14:paraId="20B24325" w14:textId="77777777" w:rsidR="00FC0D62" w:rsidRDefault="00FC0D62" w:rsidP="00EA7276">
      <w:pPr>
        <w:spacing w:after="0"/>
        <w:ind w:left="283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p w14:paraId="71C69DB5" w14:textId="77777777" w:rsidR="00FC0D62" w:rsidRPr="000F15E4" w:rsidRDefault="00FC0D62" w:rsidP="00EA7276">
      <w:pPr>
        <w:spacing w:after="0"/>
        <w:ind w:left="283"/>
        <w:jc w:val="both"/>
        <w:rPr>
          <w:rFonts w:ascii="Arial" w:eastAsia="Arial" w:hAnsi="Arial" w:cs="Times New Roman"/>
          <w:b/>
          <w:bCs/>
          <w:i/>
          <w:iCs/>
          <w:sz w:val="20"/>
          <w:lang w:eastAsia="en-US" w:bidi="ar-TN"/>
        </w:rPr>
      </w:pPr>
    </w:p>
    <w:sectPr w:rsidR="00FC0D62" w:rsidRPr="000F15E4" w:rsidSect="00A24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5181" w14:textId="77777777" w:rsidR="00C131F8" w:rsidRDefault="00C131F8" w:rsidP="008F3F2D">
      <w:r>
        <w:separator/>
      </w:r>
    </w:p>
  </w:endnote>
  <w:endnote w:type="continuationSeparator" w:id="0">
    <w:p w14:paraId="535A9DBD" w14:textId="77777777" w:rsidR="00C131F8" w:rsidRDefault="00C131F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0C3F27" w:rsidRPr="00C64B86" w:rsidRDefault="000C3F2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6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6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C3F27" w:rsidRDefault="000C3F2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06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06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C3F27" w:rsidRDefault="000C3F2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0C3F27" w:rsidRDefault="000C3F2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C3F27" w:rsidRPr="00A00644" w:rsidRDefault="000C3F27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6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06D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C3F27" w:rsidRPr="00A00644" w:rsidRDefault="000C3F27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06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006D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9899" w14:textId="77777777" w:rsidR="00D65149" w:rsidRDefault="00D651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349C" w14:textId="77777777" w:rsidR="00C131F8" w:rsidRDefault="00C131F8" w:rsidP="008F3F2D">
      <w:r>
        <w:separator/>
      </w:r>
    </w:p>
  </w:footnote>
  <w:footnote w:type="continuationSeparator" w:id="0">
    <w:p w14:paraId="730115E5" w14:textId="77777777" w:rsidR="00C131F8" w:rsidRDefault="00C131F8" w:rsidP="008F3F2D">
      <w:r>
        <w:continuationSeparator/>
      </w:r>
    </w:p>
  </w:footnote>
  <w:footnote w:id="1">
    <w:p w14:paraId="63F657EB" w14:textId="49E6A5A4" w:rsidR="003D7EF4" w:rsidRPr="008A3D9F" w:rsidRDefault="003D7EF4" w:rsidP="008A3D9F">
      <w:pPr>
        <w:pStyle w:val="Notedebasdepage"/>
        <w:ind w:left="284" w:hanging="284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8A3D9F">
        <w:t xml:space="preserve">    </w:t>
      </w:r>
      <w:r w:rsidR="008A3D9F" w:rsidRPr="008A3D9F">
        <w:rPr>
          <w:rFonts w:ascii="Arial" w:hAnsi="Arial" w:cs="Arial"/>
          <w:sz w:val="18"/>
          <w:szCs w:val="18"/>
        </w:rPr>
        <w:t>L</w:t>
      </w:r>
      <w:r w:rsidRPr="008A3D9F">
        <w:rPr>
          <w:rFonts w:ascii="Arial" w:hAnsi="Arial" w:cs="Arial"/>
          <w:sz w:val="18"/>
          <w:szCs w:val="18"/>
        </w:rPr>
        <w:t>’intitulé du décret n°</w:t>
      </w:r>
      <w:r w:rsidR="00D65149">
        <w:rPr>
          <w:rFonts w:ascii="Arial" w:hAnsi="Arial" w:cs="Arial"/>
          <w:sz w:val="18"/>
          <w:szCs w:val="18"/>
        </w:rPr>
        <w:t> </w:t>
      </w:r>
      <w:r w:rsidRPr="008A3D9F">
        <w:rPr>
          <w:rFonts w:ascii="Arial" w:hAnsi="Arial" w:cs="Arial"/>
          <w:sz w:val="18"/>
          <w:szCs w:val="18"/>
        </w:rPr>
        <w:t>76-843 du 23 septembre 1976 fixant le régime applicable aux mem</w:t>
      </w:r>
      <w:r w:rsidR="008A3D9F" w:rsidRPr="008A3D9F">
        <w:rPr>
          <w:rFonts w:ascii="Arial" w:hAnsi="Arial" w:cs="Arial"/>
          <w:sz w:val="18"/>
          <w:szCs w:val="18"/>
        </w:rPr>
        <w:t>bres des cabinets ministériels est modifié par le décret n°</w:t>
      </w:r>
      <w:r w:rsidR="00D65149">
        <w:rPr>
          <w:rFonts w:ascii="Arial" w:hAnsi="Arial" w:cs="Arial"/>
          <w:sz w:val="18"/>
          <w:szCs w:val="18"/>
        </w:rPr>
        <w:t> </w:t>
      </w:r>
      <w:r w:rsidR="008A3D9F" w:rsidRPr="008A3D9F">
        <w:rPr>
          <w:rFonts w:ascii="Arial" w:hAnsi="Arial" w:cs="Arial"/>
          <w:sz w:val="18"/>
          <w:szCs w:val="18"/>
        </w:rPr>
        <w:t>2006-1718 du 29 juin 2006.</w:t>
      </w:r>
    </w:p>
  </w:footnote>
  <w:footnote w:id="2">
    <w:p w14:paraId="1C283B1C" w14:textId="0A990F93" w:rsidR="00AC0113" w:rsidRDefault="00AC0113" w:rsidP="00AC0113">
      <w:pPr>
        <w:pStyle w:val="Notedebasdepage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 </w:t>
      </w:r>
      <w:r w:rsidRPr="00AC0113">
        <w:rPr>
          <w:rFonts w:ascii="Arial" w:hAnsi="Arial" w:cs="Arial"/>
          <w:sz w:val="18"/>
          <w:szCs w:val="18"/>
        </w:rPr>
        <w:t>Le montant mensuel de l</w:t>
      </w:r>
      <w:r w:rsidR="00D65149">
        <w:rPr>
          <w:rFonts w:ascii="Arial" w:hAnsi="Arial" w:cs="Arial"/>
          <w:sz w:val="18"/>
          <w:szCs w:val="18"/>
        </w:rPr>
        <w:t>’</w:t>
      </w:r>
      <w:r w:rsidRPr="00AC0113">
        <w:rPr>
          <w:rFonts w:ascii="Arial" w:hAnsi="Arial" w:cs="Arial"/>
          <w:sz w:val="18"/>
          <w:szCs w:val="18"/>
        </w:rPr>
        <w:t>indemnité de cabinet allouée aux attachés des cabinets ministériels ayant l</w:t>
      </w:r>
      <w:r w:rsidR="008A3D9F">
        <w:rPr>
          <w:rFonts w:ascii="Arial" w:hAnsi="Arial" w:cs="Arial"/>
          <w:sz w:val="18"/>
          <w:szCs w:val="18"/>
        </w:rPr>
        <w:t xml:space="preserve">a qualité de </w:t>
      </w:r>
      <w:r w:rsidRPr="00AC0113">
        <w:rPr>
          <w:rFonts w:ascii="Arial" w:hAnsi="Arial" w:cs="Arial"/>
          <w:sz w:val="18"/>
          <w:szCs w:val="18"/>
        </w:rPr>
        <w:t>fonctionnaire telle que déterminée par l</w:t>
      </w:r>
      <w:r w:rsidR="00D65149">
        <w:rPr>
          <w:rFonts w:ascii="Arial" w:hAnsi="Arial" w:cs="Arial"/>
          <w:sz w:val="18"/>
          <w:szCs w:val="18"/>
        </w:rPr>
        <w:t>’</w:t>
      </w:r>
      <w:r w:rsidRPr="00AC0113">
        <w:rPr>
          <w:rFonts w:ascii="Arial" w:hAnsi="Arial" w:cs="Arial"/>
          <w:sz w:val="18"/>
          <w:szCs w:val="18"/>
        </w:rPr>
        <w:t>article</w:t>
      </w:r>
      <w:r w:rsidR="00D65149">
        <w:rPr>
          <w:rFonts w:ascii="Arial" w:hAnsi="Arial" w:cs="Arial"/>
          <w:sz w:val="18"/>
          <w:szCs w:val="18"/>
        </w:rPr>
        <w:t> </w:t>
      </w:r>
      <w:r w:rsidRPr="00AC0113">
        <w:rPr>
          <w:rFonts w:ascii="Arial" w:hAnsi="Arial" w:cs="Arial"/>
          <w:sz w:val="18"/>
          <w:szCs w:val="18"/>
        </w:rPr>
        <w:t>7 (nouveau) du décret n°</w:t>
      </w:r>
      <w:r w:rsidR="00D65149">
        <w:rPr>
          <w:rFonts w:ascii="Arial" w:hAnsi="Arial" w:cs="Arial"/>
          <w:sz w:val="18"/>
          <w:szCs w:val="18"/>
        </w:rPr>
        <w:t> </w:t>
      </w:r>
      <w:r w:rsidRPr="00AC0113">
        <w:rPr>
          <w:rFonts w:ascii="Arial" w:hAnsi="Arial" w:cs="Arial"/>
          <w:sz w:val="18"/>
          <w:szCs w:val="18"/>
        </w:rPr>
        <w:t xml:space="preserve">76-843 du 23 septembre 1976 est fixée </w:t>
      </w:r>
      <w:r>
        <w:rPr>
          <w:rFonts w:ascii="Arial" w:hAnsi="Arial" w:cs="Arial"/>
          <w:sz w:val="18"/>
          <w:szCs w:val="18"/>
        </w:rPr>
        <w:t>par le décret n°</w:t>
      </w:r>
      <w:r w:rsidR="00D6514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2009-2251 du 22 juillet 2009.</w:t>
      </w:r>
    </w:p>
    <w:p w14:paraId="1EA35F77" w14:textId="4B12406F" w:rsidR="00AC0113" w:rsidRPr="00AC0113" w:rsidRDefault="00AC0113" w:rsidP="00AC0113">
      <w:pPr>
        <w:pStyle w:val="Notedebasdepage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C3F27" w:rsidRDefault="000C3F2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C3F27" w:rsidRPr="005F7BF4" w:rsidRDefault="000C3F27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C3F27" w:rsidRPr="005F7BF4" w:rsidRDefault="000C3F27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C3F27" w:rsidRDefault="000C3F2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C3F27" w:rsidRPr="005F7BF4" w:rsidRDefault="000C3F27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C3F27" w:rsidRPr="005F7BF4" w:rsidRDefault="000C3F27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0C3F27" w:rsidRDefault="000C3F2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C3F27" w:rsidRDefault="000C3F2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C3F27" w:rsidRPr="00317C84" w:rsidRDefault="000C3F27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C3F27" w:rsidRPr="00CA3D64" w:rsidRDefault="000C3F27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C3F27" w:rsidRDefault="000C3F2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C3F27" w:rsidRPr="00317C84" w:rsidRDefault="000C3F27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C3F27" w:rsidRPr="00CA3D64" w:rsidRDefault="000C3F27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813D" w14:textId="77777777" w:rsidR="00D65149" w:rsidRDefault="00D651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662EDD"/>
    <w:multiLevelType w:val="hybridMultilevel"/>
    <w:tmpl w:val="2B30415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3287"/>
    <w:multiLevelType w:val="hybridMultilevel"/>
    <w:tmpl w:val="59E4D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CD0"/>
    <w:multiLevelType w:val="multilevel"/>
    <w:tmpl w:val="2F96F156"/>
    <w:lvl w:ilvl="0">
      <w:start w:val="2"/>
      <w:numFmt w:val="decimal"/>
      <w:lvlText w:val="%1."/>
      <w:lvlJc w:val="left"/>
      <w:pPr>
        <w:tabs>
          <w:tab w:val="decimal" w:pos="-291"/>
        </w:tabs>
        <w:ind w:left="141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26E12"/>
    <w:multiLevelType w:val="hybridMultilevel"/>
    <w:tmpl w:val="5F0CCA2C"/>
    <w:lvl w:ilvl="0" w:tplc="54AE307C">
      <w:start w:val="1"/>
      <w:numFmt w:val="decimal"/>
      <w:lvlText w:val="%1-"/>
      <w:lvlJc w:val="left"/>
      <w:pPr>
        <w:ind w:left="643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E2D6C1E"/>
    <w:multiLevelType w:val="hybridMultilevel"/>
    <w:tmpl w:val="03F2B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E4BE9"/>
    <w:multiLevelType w:val="multilevel"/>
    <w:tmpl w:val="F9D85ED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2C47B2"/>
    <w:multiLevelType w:val="multilevel"/>
    <w:tmpl w:val="5A284C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-5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636A6"/>
    <w:multiLevelType w:val="hybridMultilevel"/>
    <w:tmpl w:val="747636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55A07"/>
    <w:multiLevelType w:val="hybridMultilevel"/>
    <w:tmpl w:val="19D2037A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E377B5F"/>
    <w:multiLevelType w:val="multilevel"/>
    <w:tmpl w:val="8A1E16A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A6B4B"/>
    <w:multiLevelType w:val="multilevel"/>
    <w:tmpl w:val="BDAE408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51036"/>
    <w:multiLevelType w:val="hybridMultilevel"/>
    <w:tmpl w:val="52AE3A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6450D"/>
    <w:multiLevelType w:val="hybridMultilevel"/>
    <w:tmpl w:val="9B6E39EE"/>
    <w:lvl w:ilvl="0" w:tplc="276EEA1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5CDD49AE"/>
    <w:multiLevelType w:val="hybridMultilevel"/>
    <w:tmpl w:val="055049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B6E47"/>
    <w:multiLevelType w:val="hybridMultilevel"/>
    <w:tmpl w:val="C0B2F7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39C1628"/>
    <w:multiLevelType w:val="hybridMultilevel"/>
    <w:tmpl w:val="58DC598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644A2870"/>
    <w:multiLevelType w:val="multilevel"/>
    <w:tmpl w:val="097A083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8C0F5B"/>
    <w:multiLevelType w:val="hybridMultilevel"/>
    <w:tmpl w:val="78FA8E8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C3C59"/>
    <w:multiLevelType w:val="hybridMultilevel"/>
    <w:tmpl w:val="E2F802C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6D08E2"/>
    <w:multiLevelType w:val="hybridMultilevel"/>
    <w:tmpl w:val="D2E63A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6F500FF1"/>
    <w:multiLevelType w:val="hybridMultilevel"/>
    <w:tmpl w:val="872E53D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22C70"/>
    <w:multiLevelType w:val="hybridMultilevel"/>
    <w:tmpl w:val="63CC1A6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>
    <w:nsid w:val="761A0F3C"/>
    <w:multiLevelType w:val="hybridMultilevel"/>
    <w:tmpl w:val="4B6A71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32A7F"/>
    <w:multiLevelType w:val="multilevel"/>
    <w:tmpl w:val="034253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4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83059"/>
    <w:multiLevelType w:val="multilevel"/>
    <w:tmpl w:val="E170421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9B7B8C"/>
    <w:multiLevelType w:val="hybridMultilevel"/>
    <w:tmpl w:val="0CDE273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1">
    <w:nsid w:val="7EF30AB7"/>
    <w:multiLevelType w:val="hybridMultilevel"/>
    <w:tmpl w:val="856E57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3"/>
  </w:num>
  <w:num w:numId="4">
    <w:abstractNumId w:val="14"/>
  </w:num>
  <w:num w:numId="5">
    <w:abstractNumId w:val="29"/>
  </w:num>
  <w:num w:numId="6">
    <w:abstractNumId w:val="40"/>
  </w:num>
  <w:num w:numId="7">
    <w:abstractNumId w:val="20"/>
  </w:num>
  <w:num w:numId="8">
    <w:abstractNumId w:val="1"/>
  </w:num>
  <w:num w:numId="9">
    <w:abstractNumId w:val="19"/>
  </w:num>
  <w:num w:numId="10">
    <w:abstractNumId w:val="18"/>
  </w:num>
  <w:num w:numId="11">
    <w:abstractNumId w:val="9"/>
  </w:num>
  <w:num w:numId="12">
    <w:abstractNumId w:val="37"/>
  </w:num>
  <w:num w:numId="13">
    <w:abstractNumId w:val="6"/>
  </w:num>
  <w:num w:numId="14">
    <w:abstractNumId w:val="30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38"/>
  </w:num>
  <w:num w:numId="20">
    <w:abstractNumId w:val="26"/>
  </w:num>
  <w:num w:numId="21">
    <w:abstractNumId w:val="36"/>
  </w:num>
  <w:num w:numId="22">
    <w:abstractNumId w:val="15"/>
  </w:num>
  <w:num w:numId="23">
    <w:abstractNumId w:val="11"/>
  </w:num>
  <w:num w:numId="24">
    <w:abstractNumId w:val="16"/>
  </w:num>
  <w:num w:numId="25">
    <w:abstractNumId w:val="23"/>
  </w:num>
  <w:num w:numId="26">
    <w:abstractNumId w:val="5"/>
  </w:num>
  <w:num w:numId="27">
    <w:abstractNumId w:val="41"/>
  </w:num>
  <w:num w:numId="28">
    <w:abstractNumId w:val="17"/>
  </w:num>
  <w:num w:numId="29">
    <w:abstractNumId w:val="10"/>
  </w:num>
  <w:num w:numId="30">
    <w:abstractNumId w:val="34"/>
  </w:num>
  <w:num w:numId="31">
    <w:abstractNumId w:val="31"/>
  </w:num>
  <w:num w:numId="32">
    <w:abstractNumId w:val="32"/>
  </w:num>
  <w:num w:numId="33">
    <w:abstractNumId w:val="39"/>
  </w:num>
  <w:num w:numId="34">
    <w:abstractNumId w:val="12"/>
  </w:num>
  <w:num w:numId="35">
    <w:abstractNumId w:val="3"/>
  </w:num>
  <w:num w:numId="36">
    <w:abstractNumId w:val="21"/>
  </w:num>
  <w:num w:numId="37">
    <w:abstractNumId w:val="28"/>
  </w:num>
  <w:num w:numId="38">
    <w:abstractNumId w:val="27"/>
  </w:num>
  <w:num w:numId="39">
    <w:abstractNumId w:val="35"/>
  </w:num>
  <w:num w:numId="40">
    <w:abstractNumId w:val="25"/>
  </w:num>
  <w:num w:numId="41">
    <w:abstractNumId w:val="24"/>
  </w:num>
  <w:num w:numId="4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4A7"/>
    <w:rsid w:val="00062ECD"/>
    <w:rsid w:val="00093868"/>
    <w:rsid w:val="000B0D20"/>
    <w:rsid w:val="000C24FA"/>
    <w:rsid w:val="000C3F27"/>
    <w:rsid w:val="000C7FAD"/>
    <w:rsid w:val="000D0DE1"/>
    <w:rsid w:val="000F15E4"/>
    <w:rsid w:val="001006DB"/>
    <w:rsid w:val="001323AC"/>
    <w:rsid w:val="00137334"/>
    <w:rsid w:val="001A535F"/>
    <w:rsid w:val="001B250B"/>
    <w:rsid w:val="001E10BA"/>
    <w:rsid w:val="001E5DD5"/>
    <w:rsid w:val="001E6787"/>
    <w:rsid w:val="001F6FB9"/>
    <w:rsid w:val="0020398F"/>
    <w:rsid w:val="002179A0"/>
    <w:rsid w:val="00233EE8"/>
    <w:rsid w:val="0028158B"/>
    <w:rsid w:val="002B19EE"/>
    <w:rsid w:val="00354137"/>
    <w:rsid w:val="00356C00"/>
    <w:rsid w:val="00383314"/>
    <w:rsid w:val="00385334"/>
    <w:rsid w:val="003B6CD4"/>
    <w:rsid w:val="003D7EF4"/>
    <w:rsid w:val="003F4AF0"/>
    <w:rsid w:val="00423FD8"/>
    <w:rsid w:val="0047556B"/>
    <w:rsid w:val="004808F1"/>
    <w:rsid w:val="004918B4"/>
    <w:rsid w:val="004977E0"/>
    <w:rsid w:val="004E246D"/>
    <w:rsid w:val="00503E5A"/>
    <w:rsid w:val="0056186B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44D3"/>
    <w:rsid w:val="0075404E"/>
    <w:rsid w:val="0077104F"/>
    <w:rsid w:val="007E7F34"/>
    <w:rsid w:val="00846ED4"/>
    <w:rsid w:val="00847F00"/>
    <w:rsid w:val="00873B3E"/>
    <w:rsid w:val="0089552E"/>
    <w:rsid w:val="008A3D9F"/>
    <w:rsid w:val="008F3F2D"/>
    <w:rsid w:val="00911CFA"/>
    <w:rsid w:val="009157FD"/>
    <w:rsid w:val="00957F0E"/>
    <w:rsid w:val="0097472C"/>
    <w:rsid w:val="00993EF9"/>
    <w:rsid w:val="009A3536"/>
    <w:rsid w:val="009E055F"/>
    <w:rsid w:val="00A00644"/>
    <w:rsid w:val="00A0369D"/>
    <w:rsid w:val="00A04F09"/>
    <w:rsid w:val="00A23AAD"/>
    <w:rsid w:val="00A24F23"/>
    <w:rsid w:val="00A77B68"/>
    <w:rsid w:val="00A84B7B"/>
    <w:rsid w:val="00A85FD5"/>
    <w:rsid w:val="00A90F21"/>
    <w:rsid w:val="00A93466"/>
    <w:rsid w:val="00A9459F"/>
    <w:rsid w:val="00AA0D1E"/>
    <w:rsid w:val="00AC0113"/>
    <w:rsid w:val="00AD2268"/>
    <w:rsid w:val="00AD4792"/>
    <w:rsid w:val="00B05438"/>
    <w:rsid w:val="00B617F1"/>
    <w:rsid w:val="00BF2C32"/>
    <w:rsid w:val="00BF7278"/>
    <w:rsid w:val="00C131F8"/>
    <w:rsid w:val="00C1635D"/>
    <w:rsid w:val="00C30B26"/>
    <w:rsid w:val="00C61994"/>
    <w:rsid w:val="00C64B86"/>
    <w:rsid w:val="00C73D75"/>
    <w:rsid w:val="00CA3D64"/>
    <w:rsid w:val="00CA544B"/>
    <w:rsid w:val="00CC4ADF"/>
    <w:rsid w:val="00D07749"/>
    <w:rsid w:val="00D1177F"/>
    <w:rsid w:val="00D274F6"/>
    <w:rsid w:val="00D36176"/>
    <w:rsid w:val="00D65149"/>
    <w:rsid w:val="00DC4590"/>
    <w:rsid w:val="00E05991"/>
    <w:rsid w:val="00E10A35"/>
    <w:rsid w:val="00E22A71"/>
    <w:rsid w:val="00E334EC"/>
    <w:rsid w:val="00E57DAB"/>
    <w:rsid w:val="00E76935"/>
    <w:rsid w:val="00E953A2"/>
    <w:rsid w:val="00EA7276"/>
    <w:rsid w:val="00EB590F"/>
    <w:rsid w:val="00EF16C9"/>
    <w:rsid w:val="00F57B75"/>
    <w:rsid w:val="00FB1EE6"/>
    <w:rsid w:val="00FC0D62"/>
    <w:rsid w:val="00FC19A9"/>
    <w:rsid w:val="00FD657C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C0113"/>
    <w:rPr>
      <w:rFonts w:ascii="Cambria" w:eastAsia="Calibri" w:hAnsi="Cambria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01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0113"/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C0113"/>
    <w:rPr>
      <w:rFonts w:ascii="Cambria" w:eastAsia="Calibri" w:hAnsi="Cambria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01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0113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95CB-EF33-45B7-87E8-FA15DF30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2015-11-18T12:05:00Z</cp:lastPrinted>
  <dcterms:created xsi:type="dcterms:W3CDTF">2015-11-18T12:06:00Z</dcterms:created>
  <dcterms:modified xsi:type="dcterms:W3CDTF">2015-11-18T12:06:00Z</dcterms:modified>
</cp:coreProperties>
</file>