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23AB" w14:textId="77777777" w:rsidR="00117606" w:rsidRDefault="00117606" w:rsidP="00117606">
      <w:pPr>
        <w:bidi/>
        <w:spacing w:before="100" w:beforeAutospacing="1" w:after="0"/>
        <w:ind w:left="283"/>
        <w:jc w:val="both"/>
        <w:rPr>
          <w:rFonts w:ascii="Arial" w:eastAsia="Times New Roman" w:hAnsi="Arial" w:cs="Arial"/>
          <w:b/>
          <w:bCs/>
          <w:sz w:val="24"/>
          <w:szCs w:val="24"/>
          <w:lang w:bidi="ar-TN"/>
        </w:rPr>
      </w:pPr>
    </w:p>
    <w:p w14:paraId="118CE021" w14:textId="77777777" w:rsidR="00176100" w:rsidRPr="00176100" w:rsidRDefault="00176100" w:rsidP="00176100">
      <w:pPr>
        <w:bidi/>
        <w:spacing w:before="100" w:beforeAutospacing="1" w:after="0"/>
        <w:ind w:left="283"/>
        <w:jc w:val="both"/>
        <w:rPr>
          <w:rFonts w:ascii="Arial" w:eastAsia="Calibri" w:hAnsi="Arial" w:cs="Arial"/>
          <w:b/>
          <w:bCs/>
          <w:sz w:val="24"/>
          <w:szCs w:val="24"/>
          <w:rtl/>
          <w:lang w:eastAsia="en-US" w:bidi="ar-TN"/>
        </w:rPr>
      </w:pPr>
      <w:r w:rsidRPr="00176100">
        <w:rPr>
          <w:rFonts w:ascii="Arial" w:eastAsia="Calibri" w:hAnsi="Arial" w:cs="Arial" w:hint="cs"/>
          <w:b/>
          <w:bCs/>
          <w:sz w:val="24"/>
          <w:szCs w:val="24"/>
          <w:rtl/>
          <w:lang w:eastAsia="en-US" w:bidi="ar-TN"/>
        </w:rPr>
        <w:t>أمر عدد 169 لسنة 1975 مؤرخ في 20 مارس 1975 يتعلق بتنقيح الأمر عدد 206 لسنة 1958 مؤرخ  في 22 أوت 1958 يتعلق ببعض غرامات تبررها فروض تكاليف خاصة بالخدمة تدفع لموظفي مصالح التجول للحرس الوطني والشرطة وإدارة السجون والقمارق</w:t>
      </w:r>
    </w:p>
    <w:p w14:paraId="647F19EB" w14:textId="77777777" w:rsidR="00176100" w:rsidRPr="00176100" w:rsidRDefault="00176100" w:rsidP="00176100">
      <w:pPr>
        <w:bidi/>
        <w:spacing w:before="100" w:beforeAutospacing="1" w:after="0"/>
        <w:ind w:left="283"/>
        <w:jc w:val="both"/>
        <w:rPr>
          <w:rFonts w:ascii="Arial" w:eastAsia="Calibri" w:hAnsi="Arial" w:cs="Arial"/>
          <w:rtl/>
          <w:lang w:eastAsia="en-US" w:bidi="ar-TN"/>
        </w:rPr>
      </w:pPr>
      <w:r w:rsidRPr="00176100">
        <w:rPr>
          <w:rFonts w:ascii="Arial" w:eastAsia="Calibri" w:hAnsi="Arial" w:cs="Arial" w:hint="cs"/>
          <w:rtl/>
          <w:lang w:eastAsia="en-US" w:bidi="ar-TN"/>
        </w:rPr>
        <w:t xml:space="preserve">نحن الحبيب بورقيبة ، رئيس الجمهورية التونسية، </w:t>
      </w:r>
    </w:p>
    <w:p w14:paraId="7B123498" w14:textId="77777777" w:rsidR="00176100" w:rsidRPr="00176100" w:rsidRDefault="00176100" w:rsidP="00176100">
      <w:pPr>
        <w:bidi/>
        <w:spacing w:before="100" w:beforeAutospacing="1" w:after="0"/>
        <w:ind w:left="283"/>
        <w:jc w:val="both"/>
        <w:rPr>
          <w:rFonts w:ascii="Arial" w:eastAsia="Calibri" w:hAnsi="Arial" w:cs="Arial"/>
          <w:rtl/>
          <w:lang w:eastAsia="en-US" w:bidi="ar-TN"/>
        </w:rPr>
      </w:pPr>
      <w:r w:rsidRPr="00176100">
        <w:rPr>
          <w:rFonts w:ascii="Arial" w:eastAsia="Calibri" w:hAnsi="Arial" w:cs="Arial" w:hint="cs"/>
          <w:rtl/>
          <w:lang w:eastAsia="en-US" w:bidi="ar-TN"/>
        </w:rPr>
        <w:t>بعد إطلاعنا على القانون رقم 60 لسنة 1958  المؤرخ في 29 ماي 1958 المتعلق بنظام تأجير موظفي الدولة والمؤسسات العمومية والبلديات المتمم بالقانون عدد 101 لسنة 1958 المؤرخ في 7 أكتوبر 1958.</w:t>
      </w:r>
    </w:p>
    <w:p w14:paraId="04789E76" w14:textId="77777777" w:rsidR="00176100" w:rsidRPr="00176100" w:rsidRDefault="00176100" w:rsidP="00176100">
      <w:pPr>
        <w:bidi/>
        <w:spacing w:before="100" w:beforeAutospacing="1" w:after="0"/>
        <w:ind w:left="283"/>
        <w:jc w:val="both"/>
        <w:rPr>
          <w:rFonts w:ascii="Arial" w:eastAsia="Calibri" w:hAnsi="Arial" w:cs="Arial"/>
          <w:rtl/>
          <w:lang w:eastAsia="en-US" w:bidi="ar-TN"/>
        </w:rPr>
      </w:pPr>
      <w:r w:rsidRPr="00176100">
        <w:rPr>
          <w:rFonts w:ascii="Arial" w:eastAsia="Calibri" w:hAnsi="Arial" w:cs="Arial" w:hint="cs"/>
          <w:rtl/>
          <w:lang w:eastAsia="en-US" w:bidi="ar-TN"/>
        </w:rPr>
        <w:t xml:space="preserve">وعلى القانون عدد 101 </w:t>
      </w:r>
      <w:proofErr w:type="gramStart"/>
      <w:r w:rsidRPr="00176100">
        <w:rPr>
          <w:rFonts w:ascii="Arial" w:eastAsia="Calibri" w:hAnsi="Arial" w:cs="Arial" w:hint="cs"/>
          <w:rtl/>
          <w:lang w:eastAsia="en-US" w:bidi="ar-TN"/>
        </w:rPr>
        <w:t>لسنة</w:t>
      </w:r>
      <w:proofErr w:type="gramEnd"/>
      <w:r w:rsidRPr="00176100">
        <w:rPr>
          <w:rFonts w:ascii="Arial" w:eastAsia="Calibri" w:hAnsi="Arial" w:cs="Arial" w:hint="cs"/>
          <w:rtl/>
          <w:lang w:eastAsia="en-US" w:bidi="ar-TN"/>
        </w:rPr>
        <w:t xml:space="preserve"> 1974 المؤرخ في 25 ديسمبر 1974 المتعلق بقانون المالية لسنة 1975.</w:t>
      </w:r>
    </w:p>
    <w:p w14:paraId="2263D648" w14:textId="77777777" w:rsidR="00176100" w:rsidRPr="00176100" w:rsidRDefault="00176100" w:rsidP="00176100">
      <w:pPr>
        <w:bidi/>
        <w:spacing w:before="100" w:beforeAutospacing="1" w:after="0"/>
        <w:ind w:left="283"/>
        <w:jc w:val="both"/>
        <w:rPr>
          <w:rFonts w:ascii="Arial" w:eastAsia="Calibri" w:hAnsi="Arial" w:cs="Arial"/>
          <w:rtl/>
          <w:lang w:eastAsia="en-US" w:bidi="ar-TN"/>
        </w:rPr>
      </w:pPr>
      <w:r w:rsidRPr="00176100">
        <w:rPr>
          <w:rFonts w:ascii="Arial" w:eastAsia="Calibri" w:hAnsi="Arial" w:cs="Arial" w:hint="cs"/>
          <w:rtl/>
          <w:lang w:eastAsia="en-US" w:bidi="ar-TN"/>
        </w:rPr>
        <w:t xml:space="preserve">وعلى الأمر عدد 206 لسنة 1958 المؤرخ في 22 أوت 1958 المتعلق ببعض </w:t>
      </w:r>
      <w:r w:rsidRPr="00176100">
        <w:rPr>
          <w:rFonts w:ascii="Arial" w:eastAsia="Calibri" w:hAnsi="Arial" w:cs="Arial"/>
          <w:rtl/>
          <w:lang w:eastAsia="en-US" w:bidi="ar-TN"/>
        </w:rPr>
        <w:t xml:space="preserve">غرامات تبررها فروض تكاليف خاصة بالخدمة تدفع لموظفي مصالح التجول للحرس الوطني والشرطة وإدارة السجون </w:t>
      </w:r>
      <w:r w:rsidRPr="00176100">
        <w:rPr>
          <w:rFonts w:ascii="Arial" w:eastAsia="Calibri" w:hAnsi="Arial" w:cs="Arial" w:hint="cs"/>
          <w:rtl/>
          <w:lang w:eastAsia="en-US" w:bidi="ar-TN"/>
        </w:rPr>
        <w:t>وعلى جميع النصوص التي نقحته أو تممته وخاصة الأمر عدد 237 لسنة 1972 المؤرخ في 2 أوت 1972.</w:t>
      </w:r>
    </w:p>
    <w:p w14:paraId="6B205195" w14:textId="77777777" w:rsidR="00176100" w:rsidRPr="00176100" w:rsidRDefault="00176100" w:rsidP="00176100">
      <w:pPr>
        <w:bidi/>
        <w:spacing w:before="100" w:beforeAutospacing="1" w:after="0"/>
        <w:ind w:left="283"/>
        <w:jc w:val="both"/>
        <w:rPr>
          <w:rFonts w:ascii="Arial" w:eastAsia="Calibri" w:hAnsi="Arial" w:cs="Arial"/>
          <w:rtl/>
          <w:lang w:eastAsia="en-US" w:bidi="ar-TN"/>
        </w:rPr>
      </w:pPr>
      <w:proofErr w:type="gramStart"/>
      <w:r w:rsidRPr="00176100">
        <w:rPr>
          <w:rFonts w:ascii="Arial" w:eastAsia="Calibri" w:hAnsi="Arial" w:cs="Arial" w:hint="cs"/>
          <w:rtl/>
          <w:lang w:eastAsia="en-US" w:bidi="ar-TN"/>
        </w:rPr>
        <w:t>وعلى</w:t>
      </w:r>
      <w:proofErr w:type="gramEnd"/>
      <w:r w:rsidRPr="00176100">
        <w:rPr>
          <w:rFonts w:ascii="Arial" w:eastAsia="Calibri" w:hAnsi="Arial" w:cs="Arial" w:hint="cs"/>
          <w:rtl/>
          <w:lang w:eastAsia="en-US" w:bidi="ar-TN"/>
        </w:rPr>
        <w:t xml:space="preserve"> رأي وزير المالية.</w:t>
      </w:r>
    </w:p>
    <w:p w14:paraId="51E6C1A1" w14:textId="77777777" w:rsidR="00176100" w:rsidRPr="00176100" w:rsidRDefault="00176100" w:rsidP="00176100">
      <w:pPr>
        <w:bidi/>
        <w:spacing w:before="100" w:beforeAutospacing="1" w:after="0"/>
        <w:ind w:left="283"/>
        <w:jc w:val="both"/>
        <w:rPr>
          <w:rFonts w:ascii="Arial" w:eastAsia="Calibri" w:hAnsi="Arial" w:cs="Arial"/>
          <w:rtl/>
          <w:lang w:eastAsia="en-US" w:bidi="ar-TN"/>
        </w:rPr>
      </w:pPr>
      <w:r w:rsidRPr="00176100">
        <w:rPr>
          <w:rFonts w:ascii="Arial" w:eastAsia="Calibri" w:hAnsi="Arial" w:cs="Arial" w:hint="cs"/>
          <w:rtl/>
          <w:lang w:eastAsia="en-US" w:bidi="ar-TN"/>
        </w:rPr>
        <w:t xml:space="preserve">أصدرنا </w:t>
      </w:r>
      <w:proofErr w:type="gramStart"/>
      <w:r w:rsidRPr="00176100">
        <w:rPr>
          <w:rFonts w:ascii="Arial" w:eastAsia="Calibri" w:hAnsi="Arial" w:cs="Arial" w:hint="cs"/>
          <w:rtl/>
          <w:lang w:eastAsia="en-US" w:bidi="ar-TN"/>
        </w:rPr>
        <w:t>أمرنا</w:t>
      </w:r>
      <w:proofErr w:type="gramEnd"/>
      <w:r w:rsidRPr="00176100">
        <w:rPr>
          <w:rFonts w:ascii="Arial" w:eastAsia="Calibri" w:hAnsi="Arial" w:cs="Arial" w:hint="cs"/>
          <w:rtl/>
          <w:lang w:eastAsia="en-US" w:bidi="ar-TN"/>
        </w:rPr>
        <w:t xml:space="preserve"> بما يأتي:</w:t>
      </w:r>
    </w:p>
    <w:p w14:paraId="1C9F2B1C" w14:textId="28C00915" w:rsidR="00176100" w:rsidRPr="00176100" w:rsidRDefault="00176100" w:rsidP="001D54E9">
      <w:pPr>
        <w:bidi/>
        <w:spacing w:before="100" w:beforeAutospacing="1" w:after="0"/>
        <w:ind w:left="283"/>
        <w:jc w:val="both"/>
        <w:rPr>
          <w:rFonts w:ascii="Arial" w:eastAsia="Calibri" w:hAnsi="Arial" w:cs="Arial"/>
          <w:b/>
          <w:bCs/>
          <w:rtl/>
          <w:lang w:eastAsia="en-US" w:bidi="ar-TN"/>
        </w:rPr>
      </w:pPr>
      <w:r w:rsidRPr="00176100">
        <w:rPr>
          <w:rFonts w:ascii="Arial" w:eastAsia="Calibri" w:hAnsi="Arial" w:cs="Arial" w:hint="cs"/>
          <w:b/>
          <w:bCs/>
          <w:rtl/>
          <w:lang w:eastAsia="en-US" w:bidi="ar-TN"/>
        </w:rPr>
        <w:t>الفصل 1 –</w:t>
      </w:r>
      <w:r w:rsidR="001D54E9">
        <w:rPr>
          <w:rFonts w:ascii="Arial" w:eastAsia="Calibri" w:hAnsi="Arial" w:cs="Arial" w:hint="cs"/>
          <w:b/>
          <w:bCs/>
          <w:rtl/>
          <w:lang w:eastAsia="en-US" w:bidi="ar-TN"/>
        </w:rPr>
        <w:t xml:space="preserve"> نقح بمقتضى الأمر عدد 613 لسنة 1976 المؤرخ في 14 جويلية 1976 </w:t>
      </w:r>
      <w:r w:rsidR="001D54E9">
        <w:rPr>
          <w:rFonts w:ascii="Arial" w:eastAsia="Calibri" w:hAnsi="Arial" w:cs="Arial"/>
          <w:b/>
          <w:bCs/>
          <w:rtl/>
          <w:lang w:eastAsia="en-US" w:bidi="ar-TN"/>
        </w:rPr>
        <w:t>–</w:t>
      </w:r>
      <w:r w:rsidR="001D54E9">
        <w:rPr>
          <w:rFonts w:ascii="Arial" w:eastAsia="Calibri" w:hAnsi="Arial" w:cs="Arial" w:hint="cs"/>
          <w:b/>
          <w:bCs/>
          <w:rtl/>
          <w:lang w:eastAsia="en-US" w:bidi="ar-TN"/>
        </w:rPr>
        <w:t xml:space="preserve"> </w:t>
      </w:r>
      <w:bookmarkStart w:id="0" w:name="_GoBack"/>
      <w:bookmarkEnd w:id="0"/>
      <w:r w:rsidRPr="00176100">
        <w:rPr>
          <w:rFonts w:ascii="Arial" w:eastAsia="Calibri" w:hAnsi="Arial" w:cs="Arial" w:hint="cs"/>
          <w:b/>
          <w:bCs/>
          <w:rtl/>
          <w:lang w:eastAsia="en-US" w:bidi="ar-TN"/>
        </w:rPr>
        <w:t xml:space="preserve"> </w:t>
      </w:r>
      <w:r w:rsidRPr="00176100">
        <w:rPr>
          <w:rFonts w:ascii="Arial" w:eastAsia="Calibri" w:hAnsi="Arial" w:cs="Arial" w:hint="cs"/>
          <w:rtl/>
          <w:lang w:eastAsia="en-US" w:bidi="ar-TN"/>
        </w:rPr>
        <w:t>نقح الجدول المنصوص عليه بالفصل الأول من الأمر عدد 206 لسنة 1958 المؤرخ في 22 أوت 1958 كما يلي:</w:t>
      </w:r>
    </w:p>
    <w:tbl>
      <w:tblPr>
        <w:tblStyle w:val="Grilledutableau1"/>
        <w:bidiVisual/>
        <w:tblW w:w="0" w:type="auto"/>
        <w:tblInd w:w="368" w:type="dxa"/>
        <w:tblLook w:val="04A0" w:firstRow="1" w:lastRow="0" w:firstColumn="1" w:lastColumn="0" w:noHBand="0" w:noVBand="1"/>
      </w:tblPr>
      <w:tblGrid>
        <w:gridCol w:w="7215"/>
        <w:gridCol w:w="2269"/>
      </w:tblGrid>
      <w:tr w:rsidR="00176100" w:rsidRPr="00176100" w14:paraId="407105C5" w14:textId="77777777" w:rsidTr="001D54E9">
        <w:tc>
          <w:tcPr>
            <w:tcW w:w="7215" w:type="dxa"/>
            <w:tcBorders>
              <w:bottom w:val="single" w:sz="4" w:space="0" w:color="000000"/>
            </w:tcBorders>
          </w:tcPr>
          <w:p w14:paraId="2145A10C" w14:textId="77777777" w:rsidR="00176100" w:rsidRPr="00176100" w:rsidRDefault="00176100" w:rsidP="00176100">
            <w:pPr>
              <w:bidi/>
              <w:spacing w:after="0" w:line="240" w:lineRule="auto"/>
              <w:jc w:val="center"/>
              <w:rPr>
                <w:rFonts w:ascii="Arial" w:hAnsi="Arial" w:cs="Arial"/>
                <w:b/>
                <w:bCs/>
                <w:rtl/>
                <w:lang w:eastAsia="en-US" w:bidi="ar-TN"/>
              </w:rPr>
            </w:pPr>
            <w:r w:rsidRPr="00176100">
              <w:rPr>
                <w:rFonts w:ascii="Arial" w:hAnsi="Arial" w:cs="Arial" w:hint="cs"/>
                <w:b/>
                <w:bCs/>
                <w:rtl/>
                <w:lang w:eastAsia="en-US" w:bidi="ar-TN"/>
              </w:rPr>
              <w:t>الخطة</w:t>
            </w:r>
          </w:p>
        </w:tc>
        <w:tc>
          <w:tcPr>
            <w:tcW w:w="2269" w:type="dxa"/>
            <w:tcBorders>
              <w:bottom w:val="single" w:sz="4" w:space="0" w:color="000000"/>
            </w:tcBorders>
          </w:tcPr>
          <w:p w14:paraId="074014F7" w14:textId="77777777" w:rsidR="00176100" w:rsidRPr="00176100" w:rsidRDefault="00176100" w:rsidP="00176100">
            <w:pPr>
              <w:bidi/>
              <w:spacing w:after="0" w:line="240" w:lineRule="auto"/>
              <w:jc w:val="center"/>
              <w:rPr>
                <w:rFonts w:ascii="Arial" w:hAnsi="Arial" w:cs="Arial"/>
                <w:b/>
                <w:bCs/>
                <w:rtl/>
                <w:lang w:eastAsia="en-US" w:bidi="ar-TN"/>
              </w:rPr>
            </w:pPr>
            <w:proofErr w:type="gramStart"/>
            <w:r w:rsidRPr="00176100">
              <w:rPr>
                <w:rFonts w:ascii="Arial" w:hAnsi="Arial" w:cs="Arial" w:hint="cs"/>
                <w:b/>
                <w:bCs/>
                <w:rtl/>
                <w:lang w:eastAsia="en-US" w:bidi="ar-TN"/>
              </w:rPr>
              <w:t>المبلغ</w:t>
            </w:r>
            <w:proofErr w:type="gramEnd"/>
            <w:r w:rsidRPr="00176100">
              <w:rPr>
                <w:rFonts w:ascii="Arial" w:hAnsi="Arial" w:cs="Arial" w:hint="cs"/>
                <w:b/>
                <w:bCs/>
                <w:rtl/>
                <w:lang w:eastAsia="en-US" w:bidi="ar-TN"/>
              </w:rPr>
              <w:t xml:space="preserve"> السنوي </w:t>
            </w:r>
          </w:p>
        </w:tc>
      </w:tr>
      <w:tr w:rsidR="001D54E9" w:rsidRPr="00176100" w14:paraId="22BBE58C" w14:textId="77777777" w:rsidTr="001D54E9">
        <w:tc>
          <w:tcPr>
            <w:tcW w:w="7215" w:type="dxa"/>
            <w:tcBorders>
              <w:bottom w:val="nil"/>
            </w:tcBorders>
          </w:tcPr>
          <w:p w14:paraId="282C9013" w14:textId="048474DE" w:rsidR="001D54E9" w:rsidRPr="00176100" w:rsidRDefault="001D54E9" w:rsidP="001D54E9">
            <w:pPr>
              <w:numPr>
                <w:ilvl w:val="0"/>
                <w:numId w:val="9"/>
              </w:numPr>
              <w:bidi/>
              <w:spacing w:after="0" w:line="240" w:lineRule="auto"/>
              <w:ind w:left="1494"/>
              <w:contextualSpacing/>
              <w:jc w:val="both"/>
              <w:rPr>
                <w:rFonts w:ascii="Arial" w:hAnsi="Arial" w:cs="Arial" w:hint="cs"/>
                <w:b/>
                <w:bCs/>
                <w:rtl/>
                <w:lang w:eastAsia="en-US" w:bidi="ar-TN"/>
              </w:rPr>
            </w:pPr>
            <w:r w:rsidRPr="00176100">
              <w:rPr>
                <w:rFonts w:ascii="Arial" w:hAnsi="Arial" w:cs="Arial" w:hint="cs"/>
                <w:b/>
                <w:bCs/>
                <w:rtl/>
                <w:lang w:eastAsia="en-US" w:bidi="ar-TN"/>
              </w:rPr>
              <w:t>وزارة المالية:</w:t>
            </w:r>
          </w:p>
        </w:tc>
        <w:tc>
          <w:tcPr>
            <w:tcW w:w="2269" w:type="dxa"/>
            <w:tcBorders>
              <w:bottom w:val="nil"/>
            </w:tcBorders>
          </w:tcPr>
          <w:p w14:paraId="509FEFB5" w14:textId="3A7FA72B" w:rsidR="001D54E9" w:rsidRPr="00176100" w:rsidRDefault="001D54E9" w:rsidP="001D54E9">
            <w:pPr>
              <w:bidi/>
              <w:spacing w:after="0" w:line="240" w:lineRule="auto"/>
              <w:jc w:val="center"/>
              <w:rPr>
                <w:rFonts w:ascii="Arial" w:hAnsi="Arial" w:cs="Arial" w:hint="cs"/>
                <w:b/>
                <w:bCs/>
                <w:rtl/>
                <w:lang w:eastAsia="en-US" w:bidi="ar-TN"/>
              </w:rPr>
            </w:pPr>
          </w:p>
        </w:tc>
      </w:tr>
      <w:tr w:rsidR="001D54E9" w:rsidRPr="00176100" w14:paraId="46F2200B" w14:textId="77777777" w:rsidTr="001D54E9">
        <w:tc>
          <w:tcPr>
            <w:tcW w:w="7215" w:type="dxa"/>
            <w:tcBorders>
              <w:top w:val="nil"/>
              <w:bottom w:val="nil"/>
            </w:tcBorders>
          </w:tcPr>
          <w:p w14:paraId="0D92848C" w14:textId="71668356" w:rsidR="001D54E9" w:rsidRPr="001D54E9" w:rsidRDefault="001D54E9" w:rsidP="001D54E9">
            <w:pPr>
              <w:numPr>
                <w:ilvl w:val="0"/>
                <w:numId w:val="10"/>
              </w:numPr>
              <w:bidi/>
              <w:spacing w:after="0" w:line="240" w:lineRule="auto"/>
              <w:ind w:left="1777"/>
              <w:contextualSpacing/>
              <w:jc w:val="both"/>
              <w:rPr>
                <w:rFonts w:ascii="Arial" w:hAnsi="Arial" w:cs="Arial" w:hint="cs"/>
                <w:rtl/>
                <w:lang w:eastAsia="en-US" w:bidi="ar-TN"/>
              </w:rPr>
            </w:pPr>
            <w:r w:rsidRPr="00176100">
              <w:rPr>
                <w:rFonts w:ascii="Arial" w:hAnsi="Arial" w:cs="Arial" w:hint="cs"/>
                <w:rtl/>
                <w:lang w:eastAsia="en-US" w:bidi="ar-TN"/>
              </w:rPr>
              <w:t xml:space="preserve">رائد، </w:t>
            </w:r>
            <w:proofErr w:type="gramStart"/>
            <w:r w:rsidRPr="00176100">
              <w:rPr>
                <w:rFonts w:ascii="Arial" w:hAnsi="Arial" w:cs="Arial" w:hint="cs"/>
                <w:rtl/>
                <w:lang w:eastAsia="en-US" w:bidi="ar-TN"/>
              </w:rPr>
              <w:t>نقيب</w:t>
            </w:r>
            <w:proofErr w:type="gramEnd"/>
            <w:r w:rsidRPr="00176100">
              <w:rPr>
                <w:rFonts w:ascii="Arial" w:hAnsi="Arial" w:cs="Arial" w:hint="cs"/>
                <w:rtl/>
                <w:lang w:eastAsia="en-US" w:bidi="ar-TN"/>
              </w:rPr>
              <w:t>.، ملازم أول ومرشح القمارق</w:t>
            </w:r>
          </w:p>
        </w:tc>
        <w:tc>
          <w:tcPr>
            <w:tcW w:w="2269" w:type="dxa"/>
            <w:tcBorders>
              <w:top w:val="nil"/>
              <w:bottom w:val="nil"/>
            </w:tcBorders>
          </w:tcPr>
          <w:p w14:paraId="48F3AAF4" w14:textId="468018AA" w:rsidR="001D54E9" w:rsidRPr="001D54E9" w:rsidRDefault="001D54E9" w:rsidP="00176100">
            <w:pPr>
              <w:bidi/>
              <w:spacing w:after="0" w:line="240" w:lineRule="auto"/>
              <w:jc w:val="center"/>
              <w:rPr>
                <w:rFonts w:ascii="Arial" w:hAnsi="Arial" w:cs="Arial" w:hint="cs"/>
                <w:rtl/>
                <w:lang w:eastAsia="en-US" w:bidi="ar-TN"/>
              </w:rPr>
            </w:pPr>
            <w:r w:rsidRPr="001D54E9">
              <w:rPr>
                <w:rFonts w:ascii="Arial" w:hAnsi="Arial" w:cs="Arial" w:hint="cs"/>
                <w:rtl/>
                <w:lang w:eastAsia="en-US" w:bidi="ar-TN"/>
              </w:rPr>
              <w:t>132،000</w:t>
            </w:r>
          </w:p>
        </w:tc>
      </w:tr>
      <w:tr w:rsidR="001D54E9" w:rsidRPr="00176100" w14:paraId="15FDD8F5" w14:textId="77777777" w:rsidTr="001D54E9">
        <w:tc>
          <w:tcPr>
            <w:tcW w:w="7215" w:type="dxa"/>
            <w:tcBorders>
              <w:top w:val="nil"/>
              <w:bottom w:val="nil"/>
            </w:tcBorders>
          </w:tcPr>
          <w:p w14:paraId="14F5E2FC" w14:textId="2E25C8F4" w:rsidR="001D54E9" w:rsidRPr="001D54E9" w:rsidRDefault="001D54E9" w:rsidP="001D54E9">
            <w:pPr>
              <w:numPr>
                <w:ilvl w:val="0"/>
                <w:numId w:val="10"/>
              </w:numPr>
              <w:bidi/>
              <w:spacing w:after="0" w:line="240" w:lineRule="auto"/>
              <w:ind w:left="1777"/>
              <w:contextualSpacing/>
              <w:jc w:val="both"/>
              <w:rPr>
                <w:rFonts w:ascii="Arial" w:hAnsi="Arial" w:cs="Arial" w:hint="cs"/>
                <w:rtl/>
                <w:lang w:eastAsia="en-US" w:bidi="ar-TN"/>
              </w:rPr>
            </w:pPr>
            <w:r w:rsidRPr="001D54E9">
              <w:rPr>
                <w:rFonts w:ascii="Arial" w:hAnsi="Arial" w:cs="Arial"/>
                <w:rtl/>
                <w:lang w:eastAsia="en-US" w:bidi="ar-TN"/>
              </w:rPr>
              <w:t>المساعدون الفنيون العاملون بمصالح التجول للقمارق</w:t>
            </w:r>
          </w:p>
        </w:tc>
        <w:tc>
          <w:tcPr>
            <w:tcW w:w="2269" w:type="dxa"/>
            <w:tcBorders>
              <w:top w:val="nil"/>
              <w:bottom w:val="nil"/>
            </w:tcBorders>
          </w:tcPr>
          <w:p w14:paraId="381197EB" w14:textId="3805AA0E" w:rsidR="001D54E9" w:rsidRPr="001D54E9" w:rsidRDefault="001D54E9" w:rsidP="00176100">
            <w:pPr>
              <w:bidi/>
              <w:spacing w:after="0" w:line="240" w:lineRule="auto"/>
              <w:jc w:val="center"/>
              <w:rPr>
                <w:rFonts w:ascii="Arial" w:hAnsi="Arial" w:cs="Arial" w:hint="cs"/>
                <w:rtl/>
                <w:lang w:eastAsia="en-US" w:bidi="ar-TN"/>
              </w:rPr>
            </w:pPr>
            <w:r w:rsidRPr="001D54E9">
              <w:rPr>
                <w:rFonts w:ascii="Arial" w:hAnsi="Arial" w:cs="Arial" w:hint="cs"/>
                <w:rtl/>
                <w:lang w:eastAsia="en-US" w:bidi="ar-TN"/>
              </w:rPr>
              <w:t>168،000</w:t>
            </w:r>
          </w:p>
        </w:tc>
      </w:tr>
      <w:tr w:rsidR="001D54E9" w:rsidRPr="00176100" w14:paraId="7EE9444C" w14:textId="77777777" w:rsidTr="001D54E9">
        <w:tc>
          <w:tcPr>
            <w:tcW w:w="7215" w:type="dxa"/>
            <w:tcBorders>
              <w:top w:val="nil"/>
              <w:bottom w:val="nil"/>
            </w:tcBorders>
          </w:tcPr>
          <w:p w14:paraId="74759AB1" w14:textId="1804AC2C" w:rsidR="001D54E9" w:rsidRPr="001D54E9" w:rsidRDefault="001D54E9" w:rsidP="001D54E9">
            <w:pPr>
              <w:numPr>
                <w:ilvl w:val="0"/>
                <w:numId w:val="10"/>
              </w:numPr>
              <w:bidi/>
              <w:spacing w:after="0" w:line="240" w:lineRule="auto"/>
              <w:ind w:left="1777"/>
              <w:contextualSpacing/>
              <w:jc w:val="both"/>
              <w:rPr>
                <w:rFonts w:ascii="Arial" w:hAnsi="Arial" w:cs="Arial" w:hint="cs"/>
                <w:rtl/>
                <w:lang w:eastAsia="en-US" w:bidi="ar-TN"/>
              </w:rPr>
            </w:pPr>
            <w:r w:rsidRPr="001D54E9">
              <w:rPr>
                <w:rFonts w:ascii="Arial" w:hAnsi="Arial" w:cs="Arial"/>
                <w:rtl/>
                <w:lang w:eastAsia="en-US" w:bidi="ar-TN"/>
              </w:rPr>
              <w:t>الأعوان الفنيون  العاملون بمصالح التجول للقمارق</w:t>
            </w:r>
          </w:p>
        </w:tc>
        <w:tc>
          <w:tcPr>
            <w:tcW w:w="2269" w:type="dxa"/>
            <w:tcBorders>
              <w:top w:val="nil"/>
              <w:bottom w:val="nil"/>
            </w:tcBorders>
          </w:tcPr>
          <w:p w14:paraId="5EBC7534" w14:textId="490AA26A" w:rsidR="001D54E9" w:rsidRPr="001D54E9" w:rsidRDefault="001D54E9" w:rsidP="00176100">
            <w:pPr>
              <w:bidi/>
              <w:spacing w:after="0" w:line="240" w:lineRule="auto"/>
              <w:jc w:val="center"/>
              <w:rPr>
                <w:rFonts w:ascii="Arial" w:hAnsi="Arial" w:cs="Arial" w:hint="cs"/>
                <w:rtl/>
                <w:lang w:eastAsia="en-US" w:bidi="ar-TN"/>
              </w:rPr>
            </w:pPr>
            <w:r w:rsidRPr="001D54E9">
              <w:rPr>
                <w:rFonts w:ascii="Arial" w:hAnsi="Arial" w:cs="Arial" w:hint="cs"/>
                <w:rtl/>
                <w:lang w:eastAsia="en-US" w:bidi="ar-TN"/>
              </w:rPr>
              <w:t>186،000</w:t>
            </w:r>
          </w:p>
        </w:tc>
      </w:tr>
      <w:tr w:rsidR="001D54E9" w:rsidRPr="00176100" w14:paraId="43CD0591" w14:textId="77777777" w:rsidTr="001D54E9">
        <w:tc>
          <w:tcPr>
            <w:tcW w:w="7215" w:type="dxa"/>
            <w:tcBorders>
              <w:top w:val="nil"/>
            </w:tcBorders>
          </w:tcPr>
          <w:p w14:paraId="473B4E17" w14:textId="37A5AA16" w:rsidR="001D54E9" w:rsidRPr="001D54E9" w:rsidRDefault="001D54E9" w:rsidP="001D54E9">
            <w:pPr>
              <w:numPr>
                <w:ilvl w:val="0"/>
                <w:numId w:val="10"/>
              </w:numPr>
              <w:bidi/>
              <w:spacing w:after="0" w:line="240" w:lineRule="auto"/>
              <w:ind w:left="1777"/>
              <w:contextualSpacing/>
              <w:jc w:val="both"/>
              <w:rPr>
                <w:rFonts w:ascii="Arial" w:hAnsi="Arial" w:cs="Arial" w:hint="cs"/>
                <w:rtl/>
                <w:lang w:eastAsia="en-US" w:bidi="ar-TN"/>
              </w:rPr>
            </w:pPr>
            <w:r w:rsidRPr="00176100">
              <w:rPr>
                <w:rFonts w:ascii="Arial" w:hAnsi="Arial" w:cs="Arial" w:hint="cs"/>
                <w:rtl/>
                <w:lang w:eastAsia="en-US" w:bidi="ar-TN"/>
              </w:rPr>
              <w:t>معاون القمارق</w:t>
            </w:r>
          </w:p>
        </w:tc>
        <w:tc>
          <w:tcPr>
            <w:tcW w:w="2269" w:type="dxa"/>
            <w:tcBorders>
              <w:top w:val="nil"/>
            </w:tcBorders>
          </w:tcPr>
          <w:p w14:paraId="492FA4AB" w14:textId="252CF6F4" w:rsidR="001D54E9" w:rsidRPr="001D54E9" w:rsidRDefault="001D54E9" w:rsidP="00176100">
            <w:pPr>
              <w:bidi/>
              <w:spacing w:after="0" w:line="240" w:lineRule="auto"/>
              <w:jc w:val="center"/>
              <w:rPr>
                <w:rFonts w:ascii="Arial" w:hAnsi="Arial" w:cs="Arial" w:hint="cs"/>
                <w:rtl/>
                <w:lang w:eastAsia="en-US" w:bidi="ar-TN"/>
              </w:rPr>
            </w:pPr>
            <w:r w:rsidRPr="001D54E9">
              <w:rPr>
                <w:rFonts w:ascii="Arial" w:hAnsi="Arial" w:cs="Arial" w:hint="cs"/>
                <w:rtl/>
                <w:lang w:eastAsia="en-US" w:bidi="ar-TN"/>
              </w:rPr>
              <w:t>60،000</w:t>
            </w:r>
          </w:p>
        </w:tc>
      </w:tr>
    </w:tbl>
    <w:p w14:paraId="321840F4" w14:textId="77777777" w:rsidR="00176100" w:rsidRPr="00176100" w:rsidRDefault="00176100" w:rsidP="00176100">
      <w:pPr>
        <w:bidi/>
        <w:jc w:val="both"/>
        <w:rPr>
          <w:rFonts w:ascii="Arial" w:eastAsia="Calibri" w:hAnsi="Arial" w:cs="Arial"/>
          <w:rtl/>
          <w:lang w:eastAsia="en-US" w:bidi="ar-TN"/>
        </w:rPr>
      </w:pPr>
      <w:r w:rsidRPr="00176100">
        <w:rPr>
          <w:rFonts w:ascii="Arial" w:eastAsia="Calibri" w:hAnsi="Arial" w:cs="Arial" w:hint="cs"/>
          <w:rtl/>
          <w:lang w:eastAsia="en-US" w:bidi="ar-TN"/>
        </w:rPr>
        <w:t xml:space="preserve"> </w:t>
      </w:r>
    </w:p>
    <w:p w14:paraId="67809E6A" w14:textId="77777777" w:rsidR="00176100" w:rsidRPr="00176100" w:rsidRDefault="00176100" w:rsidP="00176100">
      <w:pPr>
        <w:bidi/>
        <w:spacing w:before="100" w:beforeAutospacing="1" w:after="0"/>
        <w:ind w:left="283"/>
        <w:jc w:val="both"/>
        <w:rPr>
          <w:rFonts w:ascii="Arial" w:eastAsia="Calibri" w:hAnsi="Arial" w:cs="Arial"/>
          <w:b/>
          <w:bCs/>
          <w:rtl/>
          <w:lang w:eastAsia="en-US" w:bidi="ar-TN"/>
        </w:rPr>
      </w:pPr>
      <w:r w:rsidRPr="00176100">
        <w:rPr>
          <w:rFonts w:ascii="Arial" w:eastAsia="Calibri" w:hAnsi="Arial" w:cs="Arial" w:hint="cs"/>
          <w:b/>
          <w:bCs/>
          <w:rtl/>
          <w:lang w:eastAsia="en-US" w:bidi="ar-TN"/>
        </w:rPr>
        <w:t xml:space="preserve">الفصل 2 – </w:t>
      </w:r>
      <w:r w:rsidRPr="00176100">
        <w:rPr>
          <w:rFonts w:ascii="Arial" w:eastAsia="Calibri" w:hAnsi="Arial" w:cs="Arial" w:hint="cs"/>
          <w:rtl/>
          <w:lang w:eastAsia="en-US" w:bidi="ar-TN"/>
        </w:rPr>
        <w:t>وزير المالية مكلف بتنفيذ هذا الأمر الذي يجري العمل به ابتداء من أول جانفي 1975 وينشر بالرائد الرسمي للجمهورية التونسية.</w:t>
      </w:r>
    </w:p>
    <w:p w14:paraId="4DA2BF94" w14:textId="56339E0D" w:rsidR="00957F0E" w:rsidRPr="00176100" w:rsidRDefault="00176100" w:rsidP="00176100">
      <w:pPr>
        <w:bidi/>
        <w:spacing w:before="100" w:beforeAutospacing="1" w:after="0"/>
        <w:ind w:left="283"/>
        <w:jc w:val="both"/>
        <w:rPr>
          <w:rFonts w:ascii="Arial" w:eastAsia="Calibri" w:hAnsi="Arial" w:cs="Arial"/>
          <w:b/>
          <w:bCs/>
          <w:rtl/>
          <w:lang w:eastAsia="en-US" w:bidi="ar-TN"/>
        </w:rPr>
      </w:pPr>
      <w:r w:rsidRPr="00176100">
        <w:rPr>
          <w:rFonts w:ascii="Arial" w:eastAsia="Calibri" w:hAnsi="Arial" w:cs="Arial" w:hint="cs"/>
          <w:b/>
          <w:bCs/>
          <w:rtl/>
          <w:lang w:eastAsia="en-US" w:bidi="ar-TN"/>
        </w:rPr>
        <w:t>وصدر بقصر قرطاج في 20 مارس 1975.</w:t>
      </w:r>
    </w:p>
    <w:sectPr w:rsidR="00957F0E" w:rsidRPr="00176100"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25AEF" w14:textId="77777777" w:rsidR="00726991" w:rsidRDefault="00726991" w:rsidP="008F3F2D">
      <w:r>
        <w:separator/>
      </w:r>
    </w:p>
  </w:endnote>
  <w:endnote w:type="continuationSeparator" w:id="0">
    <w:p w14:paraId="5BB4DCBB" w14:textId="77777777" w:rsidR="00726991" w:rsidRDefault="007269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C4252" w14:textId="77777777" w:rsidR="00726991" w:rsidRDefault="00726991" w:rsidP="008F3F2D">
      <w:r>
        <w:separator/>
      </w:r>
    </w:p>
  </w:footnote>
  <w:footnote w:type="continuationSeparator" w:id="0">
    <w:p w14:paraId="364737BE" w14:textId="77777777" w:rsidR="00726991" w:rsidRDefault="007269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3A1309"/>
    <w:multiLevelType w:val="hybridMultilevel"/>
    <w:tmpl w:val="F8D6D924"/>
    <w:lvl w:ilvl="0" w:tplc="067E59F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8621C6"/>
    <w:multiLevelType w:val="hybridMultilevel"/>
    <w:tmpl w:val="9CC0DDB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63658BD"/>
    <w:multiLevelType w:val="hybridMultilevel"/>
    <w:tmpl w:val="3CB2C5E4"/>
    <w:lvl w:ilvl="0" w:tplc="7286E8D2">
      <w:start w:val="8"/>
      <w:numFmt w:val="bullet"/>
      <w:lvlText w:val="-"/>
      <w:lvlJc w:val="left"/>
      <w:pPr>
        <w:ind w:left="720" w:hanging="360"/>
      </w:pPr>
      <w:rPr>
        <w:rFonts w:ascii="Arial" w:eastAsia="Cambr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7"/>
  </w:num>
  <w:num w:numId="6">
    <w:abstractNumId w:val="10"/>
  </w:num>
  <w:num w:numId="7">
    <w:abstractNumId w:val="5"/>
  </w:num>
  <w:num w:numId="8">
    <w:abstractNumId w:val="4"/>
  </w:num>
  <w:num w:numId="9">
    <w:abstractNumId w:val="1"/>
  </w:num>
  <w:num w:numId="10">
    <w:abstractNumId w:val="6"/>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E68CA"/>
    <w:rsid w:val="00117606"/>
    <w:rsid w:val="00176100"/>
    <w:rsid w:val="001D54E9"/>
    <w:rsid w:val="001E5DD5"/>
    <w:rsid w:val="002B19EE"/>
    <w:rsid w:val="002B237F"/>
    <w:rsid w:val="003460A9"/>
    <w:rsid w:val="00354137"/>
    <w:rsid w:val="003A76D7"/>
    <w:rsid w:val="003B6CD4"/>
    <w:rsid w:val="005F7BF4"/>
    <w:rsid w:val="00684129"/>
    <w:rsid w:val="007244D3"/>
    <w:rsid w:val="00726991"/>
    <w:rsid w:val="0075404E"/>
    <w:rsid w:val="007C6F68"/>
    <w:rsid w:val="008F3F2D"/>
    <w:rsid w:val="00957F0E"/>
    <w:rsid w:val="0097472C"/>
    <w:rsid w:val="00A00644"/>
    <w:rsid w:val="00A04F09"/>
    <w:rsid w:val="00A90F21"/>
    <w:rsid w:val="00AD2268"/>
    <w:rsid w:val="00B05438"/>
    <w:rsid w:val="00B617F1"/>
    <w:rsid w:val="00C1635D"/>
    <w:rsid w:val="00C600DA"/>
    <w:rsid w:val="00C64B86"/>
    <w:rsid w:val="00CC4ADF"/>
    <w:rsid w:val="00D07749"/>
    <w:rsid w:val="00D2697E"/>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customStyle="1" w:styleId="Grilledutableau1">
    <w:name w:val="Grille du tableau1"/>
    <w:basedOn w:val="TableauNormal"/>
    <w:next w:val="Grilledutableau"/>
    <w:uiPriority w:val="59"/>
    <w:rsid w:val="00176100"/>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176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customStyle="1" w:styleId="Grilledutableau1">
    <w:name w:val="Grille du tableau1"/>
    <w:basedOn w:val="TableauNormal"/>
    <w:next w:val="Grilledutableau"/>
    <w:uiPriority w:val="59"/>
    <w:rsid w:val="00176100"/>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176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648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2012-05-12T20:43:00Z</cp:lastPrinted>
  <dcterms:created xsi:type="dcterms:W3CDTF">2014-04-04T13:36:00Z</dcterms:created>
  <dcterms:modified xsi:type="dcterms:W3CDTF">2014-04-04T13:36:00Z</dcterms:modified>
</cp:coreProperties>
</file>