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1803C200" w14:textId="77777777" w:rsidR="0029680B" w:rsidRPr="0029680B" w:rsidRDefault="0029680B" w:rsidP="0029680B">
      <w:pPr>
        <w:widowControl w:val="0"/>
        <w:kinsoku w:val="0"/>
        <w:spacing w:before="100" w:beforeAutospacing="1" w:after="0"/>
        <w:ind w:left="283"/>
        <w:jc w:val="both"/>
        <w:rPr>
          <w:rFonts w:ascii="Arial" w:eastAsia="Calibri" w:hAnsi="Arial" w:cs="Arial"/>
          <w:b/>
          <w:bCs/>
          <w:noProof/>
          <w:sz w:val="24"/>
          <w:szCs w:val="24"/>
          <w:lang w:val="fr-CH" w:eastAsia="fr-CH"/>
        </w:rPr>
      </w:pPr>
      <w:r w:rsidRPr="0029680B">
        <w:rPr>
          <w:rFonts w:ascii="Arial" w:eastAsia="Calibri" w:hAnsi="Arial" w:cs="Arial"/>
          <w:b/>
          <w:bCs/>
          <w:noProof/>
          <w:sz w:val="24"/>
          <w:szCs w:val="24"/>
          <w:lang w:val="fr-CH" w:eastAsia="fr-CH"/>
        </w:rPr>
        <w:t>Décret n° 74-1062 du 28 novembre 1974, fixant les attributions du Ministère de la Justice</w:t>
      </w:r>
    </w:p>
    <w:p w14:paraId="633637BD" w14:textId="77777777" w:rsidR="0029680B" w:rsidRPr="0029680B" w:rsidRDefault="0029680B" w:rsidP="0029680B">
      <w:pPr>
        <w:widowControl w:val="0"/>
        <w:kinsoku w:val="0"/>
        <w:spacing w:before="100" w:beforeAutospacing="1" w:after="0"/>
        <w:ind w:left="283"/>
        <w:jc w:val="both"/>
        <w:rPr>
          <w:rFonts w:ascii="Arial" w:eastAsia="Calibri" w:hAnsi="Arial" w:cs="Arial"/>
          <w:noProof/>
          <w:sz w:val="20"/>
          <w:szCs w:val="20"/>
          <w:lang w:val="fr-CH" w:eastAsia="fr-CH"/>
        </w:rPr>
      </w:pPr>
      <w:r w:rsidRPr="0029680B">
        <w:rPr>
          <w:rFonts w:ascii="Arial" w:eastAsia="Calibri" w:hAnsi="Arial" w:cs="Arial"/>
          <w:noProof/>
          <w:sz w:val="20"/>
          <w:szCs w:val="20"/>
          <w:lang w:val="fr-CH" w:eastAsia="fr-CH"/>
        </w:rPr>
        <w:t>Nous, Habib Bourguiba, Président de la République Tunisienne,</w:t>
      </w:r>
    </w:p>
    <w:p w14:paraId="32054147" w14:textId="77777777" w:rsidR="0029680B" w:rsidRPr="0029680B" w:rsidRDefault="0029680B" w:rsidP="0029680B">
      <w:pPr>
        <w:widowControl w:val="0"/>
        <w:kinsoku w:val="0"/>
        <w:spacing w:before="100" w:beforeAutospacing="1" w:after="0"/>
        <w:ind w:left="283"/>
        <w:jc w:val="both"/>
        <w:rPr>
          <w:rFonts w:ascii="Arial" w:eastAsia="Calibri" w:hAnsi="Arial" w:cs="Arial"/>
          <w:noProof/>
          <w:sz w:val="20"/>
          <w:szCs w:val="20"/>
          <w:lang w:val="fr-CH" w:eastAsia="fr-CH"/>
        </w:rPr>
      </w:pPr>
      <w:r w:rsidRPr="0029680B">
        <w:rPr>
          <w:rFonts w:ascii="Arial" w:eastAsia="Calibri" w:hAnsi="Arial" w:cs="Arial"/>
          <w:noProof/>
          <w:sz w:val="20"/>
          <w:szCs w:val="20"/>
          <w:lang w:val="fr-CH" w:eastAsia="fr-CH"/>
        </w:rPr>
        <w:t>Vu le décret du 3 Août 1956, portant réorganisation du Ministère de la  Justice, ensemble les textes qui l'ont modifié et complété;</w:t>
      </w:r>
    </w:p>
    <w:p w14:paraId="0EA5FEB0" w14:textId="77777777" w:rsidR="0029680B" w:rsidRPr="0029680B" w:rsidRDefault="0029680B" w:rsidP="0029680B">
      <w:pPr>
        <w:widowControl w:val="0"/>
        <w:kinsoku w:val="0"/>
        <w:spacing w:before="100" w:beforeAutospacing="1" w:after="0"/>
        <w:ind w:left="283"/>
        <w:jc w:val="both"/>
        <w:rPr>
          <w:rFonts w:ascii="Arial" w:eastAsia="Calibri" w:hAnsi="Arial" w:cs="Arial"/>
          <w:noProof/>
          <w:sz w:val="20"/>
          <w:szCs w:val="20"/>
          <w:lang w:val="fr-CH" w:eastAsia="fr-CH"/>
        </w:rPr>
      </w:pPr>
      <w:r w:rsidRPr="0029680B">
        <w:rPr>
          <w:rFonts w:ascii="Arial" w:eastAsia="Calibri" w:hAnsi="Arial" w:cs="Arial"/>
          <w:noProof/>
          <w:sz w:val="20"/>
          <w:szCs w:val="20"/>
          <w:lang w:val="fr-CH" w:eastAsia="fr-CH"/>
        </w:rPr>
        <w:t>Sur la proposition du Ministre de la Justice;</w:t>
      </w:r>
    </w:p>
    <w:p w14:paraId="11285AC4" w14:textId="77777777" w:rsidR="0029680B" w:rsidRPr="0029680B" w:rsidRDefault="0029680B" w:rsidP="0029680B">
      <w:pPr>
        <w:widowControl w:val="0"/>
        <w:kinsoku w:val="0"/>
        <w:spacing w:before="100" w:beforeAutospacing="1" w:after="0"/>
        <w:ind w:left="283"/>
        <w:jc w:val="both"/>
        <w:rPr>
          <w:rFonts w:ascii="Arial" w:eastAsia="Calibri" w:hAnsi="Arial" w:cs="Arial"/>
          <w:noProof/>
          <w:sz w:val="20"/>
          <w:szCs w:val="20"/>
          <w:lang w:val="fr-CH" w:eastAsia="fr-CH"/>
        </w:rPr>
      </w:pPr>
      <w:r w:rsidRPr="0029680B">
        <w:rPr>
          <w:rFonts w:ascii="Arial" w:eastAsia="Calibri" w:hAnsi="Arial" w:cs="Arial"/>
          <w:noProof/>
          <w:sz w:val="20"/>
          <w:szCs w:val="20"/>
          <w:lang w:val="fr-CH" w:eastAsia="fr-CH"/>
        </w:rPr>
        <w:t>Vu l’avis du Ministre des Finances;</w:t>
      </w:r>
    </w:p>
    <w:p w14:paraId="542EC6DA" w14:textId="77777777" w:rsidR="0029680B" w:rsidRPr="0029680B" w:rsidRDefault="0029680B" w:rsidP="0029680B">
      <w:pPr>
        <w:widowControl w:val="0"/>
        <w:kinsoku w:val="0"/>
        <w:spacing w:before="100" w:beforeAutospacing="1" w:after="0"/>
        <w:ind w:left="283"/>
        <w:jc w:val="both"/>
        <w:rPr>
          <w:rFonts w:ascii="Arial" w:eastAsia="Calibri" w:hAnsi="Arial" w:cs="Arial"/>
          <w:noProof/>
          <w:sz w:val="20"/>
          <w:szCs w:val="20"/>
          <w:lang w:val="fr-CH" w:eastAsia="fr-CH"/>
        </w:rPr>
      </w:pPr>
      <w:r w:rsidRPr="0029680B">
        <w:rPr>
          <w:rFonts w:ascii="Arial" w:eastAsia="Calibri" w:hAnsi="Arial" w:cs="Arial"/>
          <w:noProof/>
          <w:sz w:val="20"/>
          <w:szCs w:val="20"/>
          <w:lang w:val="fr-CH" w:eastAsia="fr-CH"/>
        </w:rPr>
        <w:t>Décrétons :</w:t>
      </w:r>
    </w:p>
    <w:p w14:paraId="218F7522" w14:textId="77777777" w:rsidR="0029680B" w:rsidRPr="0029680B" w:rsidRDefault="0029680B" w:rsidP="0029680B">
      <w:pPr>
        <w:widowControl w:val="0"/>
        <w:kinsoku w:val="0"/>
        <w:spacing w:before="100" w:beforeAutospacing="1" w:after="0"/>
        <w:ind w:left="283"/>
        <w:jc w:val="both"/>
        <w:rPr>
          <w:rFonts w:ascii="Arial" w:eastAsia="Times New Roman" w:hAnsi="Arial" w:cs="Arial"/>
          <w:b/>
          <w:bCs/>
          <w:spacing w:val="16"/>
          <w:sz w:val="20"/>
          <w:szCs w:val="20"/>
        </w:rPr>
      </w:pPr>
      <w:r w:rsidRPr="0029680B">
        <w:rPr>
          <w:rFonts w:ascii="Arial" w:eastAsia="Times New Roman" w:hAnsi="Arial" w:cs="Arial"/>
          <w:b/>
          <w:bCs/>
          <w:i/>
          <w:iCs/>
          <w:spacing w:val="16"/>
          <w:sz w:val="20"/>
          <w:szCs w:val="20"/>
        </w:rPr>
        <w:t xml:space="preserve">Article Premier – </w:t>
      </w:r>
      <w:r w:rsidRPr="0029680B">
        <w:rPr>
          <w:rFonts w:ascii="Arial" w:eastAsia="Calibri" w:hAnsi="Arial" w:cs="Arial"/>
          <w:noProof/>
          <w:sz w:val="20"/>
          <w:szCs w:val="20"/>
          <w:lang w:val="fr-CH" w:eastAsia="fr-CH"/>
        </w:rPr>
        <w:t>Le Ministère de la Justice a pour attributions :</w:t>
      </w:r>
    </w:p>
    <w:p w14:paraId="178D6E53" w14:textId="77777777" w:rsidR="0029680B" w:rsidRPr="0029680B" w:rsidRDefault="0029680B" w:rsidP="0029680B">
      <w:pPr>
        <w:widowControl w:val="0"/>
        <w:numPr>
          <w:ilvl w:val="0"/>
          <w:numId w:val="11"/>
        </w:numPr>
        <w:kinsoku w:val="0"/>
        <w:spacing w:before="100" w:beforeAutospacing="1" w:after="0" w:line="240" w:lineRule="auto"/>
        <w:ind w:left="1494"/>
        <w:jc w:val="both"/>
        <w:rPr>
          <w:rFonts w:ascii="Arial" w:eastAsia="Calibri" w:hAnsi="Arial" w:cs="Arial"/>
          <w:noProof/>
          <w:sz w:val="20"/>
          <w:szCs w:val="20"/>
          <w:lang w:val="fr-CH" w:eastAsia="fr-CH"/>
        </w:rPr>
      </w:pPr>
      <w:r w:rsidRPr="0029680B">
        <w:rPr>
          <w:rFonts w:ascii="Arial" w:eastAsia="Calibri" w:hAnsi="Arial" w:cs="Arial"/>
          <w:noProof/>
          <w:sz w:val="20"/>
          <w:szCs w:val="20"/>
          <w:lang w:val="fr-CH" w:eastAsia="fr-CH"/>
        </w:rPr>
        <w:t>d'élaborer et de mettre en œuvre la politique judiciaire;</w:t>
      </w:r>
    </w:p>
    <w:p w14:paraId="27CE18E1" w14:textId="77777777" w:rsidR="0029680B" w:rsidRPr="0029680B" w:rsidRDefault="0029680B" w:rsidP="0029680B">
      <w:pPr>
        <w:widowControl w:val="0"/>
        <w:numPr>
          <w:ilvl w:val="0"/>
          <w:numId w:val="11"/>
        </w:numPr>
        <w:kinsoku w:val="0"/>
        <w:spacing w:before="100" w:beforeAutospacing="1" w:after="0" w:line="240" w:lineRule="auto"/>
        <w:ind w:left="1494"/>
        <w:jc w:val="both"/>
        <w:rPr>
          <w:rFonts w:ascii="Arial" w:eastAsia="Calibri" w:hAnsi="Arial" w:cs="Arial"/>
          <w:noProof/>
          <w:sz w:val="20"/>
          <w:szCs w:val="20"/>
          <w:lang w:val="fr-CH" w:eastAsia="fr-CH"/>
        </w:rPr>
      </w:pPr>
      <w:r w:rsidRPr="0029680B">
        <w:rPr>
          <w:rFonts w:ascii="Arial" w:eastAsia="Calibri" w:hAnsi="Arial" w:cs="Arial"/>
          <w:noProof/>
          <w:sz w:val="20"/>
          <w:szCs w:val="20"/>
          <w:lang w:val="fr-CH" w:eastAsia="fr-CH"/>
        </w:rPr>
        <w:t>d'élaborer les projets de textes intéressant la marche de la justice et de donner son avis sur tour les projets de lois et de textes réglementaires qui lui sont soumis par les antres départements;</w:t>
      </w:r>
    </w:p>
    <w:p w14:paraId="289D4875" w14:textId="77777777" w:rsidR="0029680B" w:rsidRPr="0029680B" w:rsidRDefault="0029680B" w:rsidP="0029680B">
      <w:pPr>
        <w:widowControl w:val="0"/>
        <w:numPr>
          <w:ilvl w:val="0"/>
          <w:numId w:val="11"/>
        </w:numPr>
        <w:kinsoku w:val="0"/>
        <w:spacing w:before="100" w:beforeAutospacing="1" w:after="0" w:line="240" w:lineRule="auto"/>
        <w:ind w:left="1494"/>
        <w:jc w:val="both"/>
        <w:rPr>
          <w:rFonts w:ascii="Arial" w:eastAsia="Calibri" w:hAnsi="Arial" w:cs="Arial"/>
          <w:noProof/>
          <w:sz w:val="20"/>
          <w:szCs w:val="20"/>
          <w:lang w:val="fr-CH" w:eastAsia="fr-CH"/>
        </w:rPr>
      </w:pPr>
      <w:r w:rsidRPr="0029680B">
        <w:rPr>
          <w:rFonts w:ascii="Arial" w:eastAsia="Calibri" w:hAnsi="Arial" w:cs="Arial"/>
          <w:noProof/>
          <w:sz w:val="20"/>
          <w:szCs w:val="20"/>
          <w:lang w:val="fr-CH" w:eastAsia="fr-CH"/>
        </w:rPr>
        <w:t>d'élaborer les projets de conventions internationales en matière judiciaire et de participer à leur négociation;</w:t>
      </w:r>
    </w:p>
    <w:p w14:paraId="34F16661" w14:textId="77777777" w:rsidR="0029680B" w:rsidRPr="0029680B" w:rsidRDefault="0029680B" w:rsidP="0029680B">
      <w:pPr>
        <w:widowControl w:val="0"/>
        <w:numPr>
          <w:ilvl w:val="0"/>
          <w:numId w:val="11"/>
        </w:numPr>
        <w:kinsoku w:val="0"/>
        <w:spacing w:before="100" w:beforeAutospacing="1" w:after="0" w:line="240" w:lineRule="auto"/>
        <w:ind w:left="1494"/>
        <w:jc w:val="both"/>
        <w:rPr>
          <w:rFonts w:ascii="Arial" w:eastAsia="Calibri" w:hAnsi="Arial" w:cs="Arial"/>
          <w:noProof/>
          <w:sz w:val="20"/>
          <w:szCs w:val="20"/>
          <w:lang w:val="fr-CH" w:eastAsia="fr-CH"/>
        </w:rPr>
      </w:pPr>
      <w:r w:rsidRPr="0029680B">
        <w:rPr>
          <w:rFonts w:ascii="Arial" w:eastAsia="Calibri" w:hAnsi="Arial" w:cs="Arial"/>
          <w:noProof/>
          <w:sz w:val="20"/>
          <w:szCs w:val="20"/>
          <w:lang w:val="fr-CH" w:eastAsia="fr-CH"/>
        </w:rPr>
        <w:t>d'organiser et d'inspecter les services publics judiciaires en veillant à leur bon fonctionnement, d'entreprendre toutes les actions nécessaires à leur améliorations et leur promotion et de contrôler les organismes places sous sa tutelle;</w:t>
      </w:r>
    </w:p>
    <w:p w14:paraId="2BF161B8" w14:textId="77777777" w:rsidR="0029680B" w:rsidRPr="0029680B" w:rsidRDefault="0029680B" w:rsidP="0029680B">
      <w:pPr>
        <w:widowControl w:val="0"/>
        <w:numPr>
          <w:ilvl w:val="0"/>
          <w:numId w:val="11"/>
        </w:numPr>
        <w:kinsoku w:val="0"/>
        <w:spacing w:before="100" w:beforeAutospacing="1" w:after="0" w:line="240" w:lineRule="auto"/>
        <w:ind w:left="1494"/>
        <w:jc w:val="both"/>
        <w:rPr>
          <w:rFonts w:ascii="Arial" w:eastAsia="Calibri" w:hAnsi="Arial" w:cs="Arial"/>
          <w:noProof/>
          <w:sz w:val="20"/>
          <w:szCs w:val="20"/>
          <w:lang w:val="fr-CH" w:eastAsia="fr-CH"/>
        </w:rPr>
      </w:pPr>
      <w:r w:rsidRPr="0029680B">
        <w:rPr>
          <w:rFonts w:ascii="Arial" w:eastAsia="Calibri" w:hAnsi="Arial" w:cs="Arial"/>
          <w:noProof/>
          <w:sz w:val="20"/>
          <w:szCs w:val="20"/>
          <w:lang w:val="fr-CH" w:eastAsia="fr-CH"/>
        </w:rPr>
        <w:t>d'assurer le contrôle des activités des professions judiciaires et des auxiliaires de la justice ;</w:t>
      </w:r>
    </w:p>
    <w:p w14:paraId="663E9872" w14:textId="77777777" w:rsidR="0029680B" w:rsidRPr="0029680B" w:rsidRDefault="0029680B" w:rsidP="0029680B">
      <w:pPr>
        <w:widowControl w:val="0"/>
        <w:numPr>
          <w:ilvl w:val="0"/>
          <w:numId w:val="11"/>
        </w:numPr>
        <w:kinsoku w:val="0"/>
        <w:spacing w:before="100" w:beforeAutospacing="1" w:after="0" w:line="240" w:lineRule="auto"/>
        <w:ind w:left="1494"/>
        <w:jc w:val="both"/>
        <w:rPr>
          <w:rFonts w:ascii="Arial" w:eastAsia="Calibri" w:hAnsi="Arial" w:cs="Arial"/>
          <w:noProof/>
          <w:sz w:val="20"/>
          <w:szCs w:val="20"/>
          <w:lang w:val="fr-CH" w:eastAsia="fr-CH"/>
        </w:rPr>
      </w:pPr>
      <w:r w:rsidRPr="0029680B">
        <w:rPr>
          <w:rFonts w:ascii="Arial" w:eastAsia="Calibri" w:hAnsi="Arial" w:cs="Arial"/>
          <w:noProof/>
          <w:sz w:val="20"/>
          <w:szCs w:val="20"/>
          <w:lang w:val="fr-CH" w:eastAsia="fr-CH"/>
        </w:rPr>
        <w:t>de délivrer des certificats de nationalité, d'élaborer les projets de textes portant naturalisation ou perte de la nationalité tunisienne et de coordonner l'activité du contrôle sur les services de l'état civil;</w:t>
      </w:r>
    </w:p>
    <w:p w14:paraId="0A6B4DFF" w14:textId="77777777" w:rsidR="0029680B" w:rsidRPr="0029680B" w:rsidRDefault="0029680B" w:rsidP="0029680B">
      <w:pPr>
        <w:widowControl w:val="0"/>
        <w:numPr>
          <w:ilvl w:val="0"/>
          <w:numId w:val="11"/>
        </w:numPr>
        <w:kinsoku w:val="0"/>
        <w:spacing w:before="100" w:beforeAutospacing="1" w:after="0" w:line="240" w:lineRule="auto"/>
        <w:ind w:left="1494"/>
        <w:jc w:val="both"/>
        <w:rPr>
          <w:rFonts w:ascii="Arial" w:eastAsia="Times New Roman" w:hAnsi="Arial" w:cs="Arial"/>
          <w:spacing w:val="16"/>
          <w:sz w:val="20"/>
          <w:szCs w:val="20"/>
        </w:rPr>
      </w:pPr>
      <w:r w:rsidRPr="0029680B">
        <w:rPr>
          <w:rFonts w:ascii="Arial" w:eastAsia="Calibri" w:hAnsi="Arial" w:cs="Arial"/>
          <w:noProof/>
          <w:sz w:val="20"/>
          <w:szCs w:val="20"/>
          <w:lang w:val="fr-CH" w:eastAsia="fr-CH"/>
        </w:rPr>
        <w:t>d'instruire les recours en grâce et les demandes de réhabilitation et de révision.</w:t>
      </w:r>
    </w:p>
    <w:p w14:paraId="519BD76C" w14:textId="77777777" w:rsidR="0029680B" w:rsidRPr="0029680B" w:rsidRDefault="0029680B" w:rsidP="0029680B">
      <w:pPr>
        <w:widowControl w:val="0"/>
        <w:kinsoku w:val="0"/>
        <w:spacing w:before="100" w:beforeAutospacing="1" w:after="0"/>
        <w:ind w:left="283"/>
        <w:jc w:val="both"/>
        <w:rPr>
          <w:rFonts w:ascii="Arial" w:eastAsia="Calibri" w:hAnsi="Arial" w:cs="Arial"/>
          <w:noProof/>
          <w:sz w:val="20"/>
          <w:szCs w:val="20"/>
          <w:lang w:val="fr-CH" w:eastAsia="fr-CH"/>
        </w:rPr>
      </w:pPr>
      <w:r w:rsidRPr="0029680B">
        <w:rPr>
          <w:rFonts w:ascii="Arial" w:eastAsia="Times New Roman" w:hAnsi="Arial" w:cs="Arial"/>
          <w:b/>
          <w:bCs/>
          <w:i/>
          <w:iCs/>
          <w:spacing w:val="2"/>
          <w:sz w:val="20"/>
          <w:szCs w:val="20"/>
        </w:rPr>
        <w:t xml:space="preserve">Art. 2 – </w:t>
      </w:r>
      <w:r w:rsidRPr="0029680B">
        <w:rPr>
          <w:rFonts w:ascii="Arial" w:eastAsia="Times New Roman" w:hAnsi="Arial" w:cs="Arial"/>
          <w:i/>
          <w:iCs/>
          <w:spacing w:val="2"/>
          <w:sz w:val="20"/>
          <w:szCs w:val="20"/>
        </w:rPr>
        <w:t xml:space="preserve"> </w:t>
      </w:r>
      <w:r w:rsidRPr="0029680B">
        <w:rPr>
          <w:rFonts w:ascii="Arial" w:eastAsia="Calibri" w:hAnsi="Arial" w:cs="Arial"/>
          <w:noProof/>
          <w:sz w:val="20"/>
          <w:szCs w:val="20"/>
          <w:lang w:val="fr-CH" w:eastAsia="fr-CH"/>
        </w:rPr>
        <w:t>Le Ministre de la Justice est chargé de l'exécution du présent décret qui sera publié au Journal Officiel de la République Tunisienne.</w:t>
      </w:r>
    </w:p>
    <w:p w14:paraId="6AAE7C6F" w14:textId="50A0C0B3" w:rsidR="00E953A2" w:rsidRPr="0029680B" w:rsidRDefault="0029680B" w:rsidP="0029680B">
      <w:pPr>
        <w:widowControl w:val="0"/>
        <w:kinsoku w:val="0"/>
        <w:spacing w:before="100" w:beforeAutospacing="1" w:after="0"/>
        <w:ind w:left="283"/>
        <w:jc w:val="both"/>
        <w:rPr>
          <w:rFonts w:ascii="Arial" w:eastAsia="Times New Roman" w:hAnsi="Arial" w:cs="Arial"/>
          <w:b/>
          <w:bCs/>
          <w:spacing w:val="2"/>
          <w:sz w:val="20"/>
          <w:szCs w:val="20"/>
        </w:rPr>
      </w:pPr>
      <w:r w:rsidRPr="0029680B">
        <w:rPr>
          <w:rFonts w:ascii="Arial" w:eastAsia="Times New Roman" w:hAnsi="Arial" w:cs="Arial"/>
          <w:b/>
          <w:bCs/>
          <w:spacing w:val="2"/>
          <w:sz w:val="20"/>
          <w:szCs w:val="20"/>
        </w:rPr>
        <w:t>Fait au Palais de Carthage, le 28 novembre 1974.</w:t>
      </w:r>
      <w:bookmarkStart w:id="0" w:name="_GoBack"/>
      <w:bookmarkEnd w:id="0"/>
    </w:p>
    <w:p w14:paraId="42E8A3F6" w14:textId="77777777" w:rsidR="00E953A2" w:rsidRDefault="00E953A2" w:rsidP="00E953A2">
      <w:pPr>
        <w:tabs>
          <w:tab w:val="left" w:pos="1136"/>
        </w:tabs>
      </w:pP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EA8F3" w14:textId="77777777" w:rsidR="001323AC" w:rsidRDefault="001323AC" w:rsidP="008F3F2D">
      <w:r>
        <w:separator/>
      </w:r>
    </w:p>
  </w:endnote>
  <w:endnote w:type="continuationSeparator" w:id="0">
    <w:p w14:paraId="357C938A" w14:textId="77777777" w:rsidR="001323AC" w:rsidRDefault="001323A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9680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9680B">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9680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9680B">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69485" w14:textId="77777777" w:rsidR="001323AC" w:rsidRDefault="001323AC" w:rsidP="008F3F2D">
      <w:r>
        <w:separator/>
      </w:r>
    </w:p>
  </w:footnote>
  <w:footnote w:type="continuationSeparator" w:id="0">
    <w:p w14:paraId="59FC203F" w14:textId="77777777" w:rsidR="001323AC" w:rsidRDefault="001323A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A77300F"/>
    <w:multiLevelType w:val="hybridMultilevel"/>
    <w:tmpl w:val="F528C79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2"/>
  </w:num>
  <w:num w:numId="3">
    <w:abstractNumId w:val="9"/>
  </w:num>
  <w:num w:numId="4">
    <w:abstractNumId w:val="3"/>
  </w:num>
  <w:num w:numId="5">
    <w:abstractNumId w:val="7"/>
  </w:num>
  <w:num w:numId="6">
    <w:abstractNumId w:val="10"/>
  </w:num>
  <w:num w:numId="7">
    <w:abstractNumId w:val="6"/>
  </w:num>
  <w:num w:numId="8">
    <w:abstractNumId w:val="1"/>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323AC"/>
    <w:rsid w:val="001A535F"/>
    <w:rsid w:val="001E5DD5"/>
    <w:rsid w:val="0020398F"/>
    <w:rsid w:val="0029680B"/>
    <w:rsid w:val="002B19EE"/>
    <w:rsid w:val="00354137"/>
    <w:rsid w:val="003B6CD4"/>
    <w:rsid w:val="00584322"/>
    <w:rsid w:val="005F7BF4"/>
    <w:rsid w:val="00684129"/>
    <w:rsid w:val="007244D3"/>
    <w:rsid w:val="0075404E"/>
    <w:rsid w:val="0089552E"/>
    <w:rsid w:val="008F3F2D"/>
    <w:rsid w:val="00957F0E"/>
    <w:rsid w:val="0097472C"/>
    <w:rsid w:val="00A00644"/>
    <w:rsid w:val="00A04F09"/>
    <w:rsid w:val="00A24F23"/>
    <w:rsid w:val="00A90F21"/>
    <w:rsid w:val="00AD2268"/>
    <w:rsid w:val="00B05438"/>
    <w:rsid w:val="00B617F1"/>
    <w:rsid w:val="00C1635D"/>
    <w:rsid w:val="00C64B86"/>
    <w:rsid w:val="00CA3D64"/>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1391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2012-08-01T12:03:00Z</dcterms:created>
  <dcterms:modified xsi:type="dcterms:W3CDTF">2012-08-01T12:03:00Z</dcterms:modified>
</cp:coreProperties>
</file>