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6B58E6E9" w14:textId="77777777" w:rsidR="007E5745" w:rsidRPr="007E5745" w:rsidRDefault="007E5745" w:rsidP="007E5745">
      <w:pPr>
        <w:spacing w:before="100" w:beforeAutospacing="1" w:after="0"/>
        <w:ind w:left="283"/>
        <w:jc w:val="both"/>
        <w:rPr>
          <w:rFonts w:ascii="Arial" w:eastAsia="Calibri" w:hAnsi="Arial" w:cs="Arial"/>
          <w:sz w:val="24"/>
          <w:szCs w:val="24"/>
          <w:lang w:eastAsia="en-US"/>
        </w:rPr>
      </w:pPr>
      <w:r w:rsidRPr="007E5745">
        <w:rPr>
          <w:rFonts w:ascii="Arial" w:eastAsia="Calibri" w:hAnsi="Arial" w:cs="Arial"/>
          <w:b/>
          <w:bCs/>
          <w:sz w:val="24"/>
          <w:szCs w:val="24"/>
          <w:lang w:eastAsia="en-US"/>
        </w:rPr>
        <w:t>Décret n°72-237 du 2 août 1972, modifiant le décret n°58-206 du 22 août 1958 relatif  à certaines indemnités justifiées par  les  sujétions  de service de service spéciales aux personnels des services actifs de la garde nationale, de la police, de l’administration pénitentiaire, des douanes et des forêts</w:t>
      </w:r>
    </w:p>
    <w:p w14:paraId="4C9F76C0" w14:textId="77777777" w:rsidR="007E5745" w:rsidRPr="007E5745" w:rsidRDefault="007E5745" w:rsidP="007E5745">
      <w:pPr>
        <w:spacing w:before="100" w:beforeAutospacing="1" w:after="0"/>
        <w:ind w:left="283"/>
        <w:jc w:val="both"/>
        <w:rPr>
          <w:rFonts w:ascii="Arial" w:eastAsia="Calibri" w:hAnsi="Arial" w:cs="Arial"/>
          <w:sz w:val="20"/>
          <w:szCs w:val="20"/>
          <w:lang w:eastAsia="en-US"/>
        </w:rPr>
      </w:pPr>
      <w:r w:rsidRPr="007E5745">
        <w:rPr>
          <w:rFonts w:ascii="Arial" w:eastAsia="Calibri" w:hAnsi="Arial" w:cs="Arial"/>
          <w:sz w:val="20"/>
          <w:szCs w:val="20"/>
          <w:lang w:eastAsia="en-US"/>
        </w:rPr>
        <w:t>Nous, Habib Bourguiba, Président de la République Tunisienne,</w:t>
      </w:r>
    </w:p>
    <w:p w14:paraId="1C9B7234" w14:textId="77777777" w:rsidR="007E5745" w:rsidRPr="007E5745" w:rsidRDefault="007E5745" w:rsidP="007E5745">
      <w:pPr>
        <w:spacing w:before="100" w:beforeAutospacing="1" w:after="0"/>
        <w:ind w:left="283"/>
        <w:jc w:val="both"/>
        <w:rPr>
          <w:rFonts w:ascii="Arial" w:eastAsia="Calibri" w:hAnsi="Arial" w:cs="Arial"/>
          <w:sz w:val="20"/>
          <w:szCs w:val="20"/>
          <w:lang w:eastAsia="en-US"/>
        </w:rPr>
      </w:pPr>
      <w:r w:rsidRPr="007E5745">
        <w:rPr>
          <w:rFonts w:ascii="Arial" w:eastAsia="Calibri" w:hAnsi="Arial" w:cs="Arial"/>
          <w:sz w:val="20"/>
          <w:szCs w:val="20"/>
          <w:lang w:eastAsia="en-US"/>
        </w:rPr>
        <w:t>Vu la loi n° 58-60 du 29 mai 1958, concernant le régime de rémunération  des fonctions de l’état, des établissements publics et des communes, telle qu’elle a été complétée par la loi n°58-10 du 7 octobre 1958,</w:t>
      </w:r>
    </w:p>
    <w:p w14:paraId="1278EF30" w14:textId="77777777" w:rsidR="007E5745" w:rsidRPr="007E5745" w:rsidRDefault="007E5745" w:rsidP="007E5745">
      <w:pPr>
        <w:spacing w:before="100" w:beforeAutospacing="1" w:after="0"/>
        <w:ind w:left="283"/>
        <w:jc w:val="both"/>
        <w:rPr>
          <w:rFonts w:ascii="Arial" w:eastAsia="Calibri" w:hAnsi="Arial" w:cs="Arial"/>
          <w:sz w:val="20"/>
          <w:szCs w:val="20"/>
          <w:lang w:eastAsia="en-US"/>
        </w:rPr>
      </w:pPr>
      <w:r w:rsidRPr="007E5745">
        <w:rPr>
          <w:rFonts w:ascii="Arial" w:eastAsia="Calibri" w:hAnsi="Arial" w:cs="Arial"/>
          <w:sz w:val="20"/>
          <w:szCs w:val="20"/>
          <w:lang w:eastAsia="en-US"/>
        </w:rPr>
        <w:t>Vu la loi n°71-59 du 29 décembre 1971, portant loi de finances pour la gestion  1972,</w:t>
      </w:r>
    </w:p>
    <w:p w14:paraId="447CC40D" w14:textId="77777777" w:rsidR="007E5745" w:rsidRPr="007E5745" w:rsidRDefault="007E5745" w:rsidP="007E5745">
      <w:pPr>
        <w:spacing w:before="100" w:beforeAutospacing="1" w:after="0"/>
        <w:ind w:left="283"/>
        <w:jc w:val="both"/>
        <w:rPr>
          <w:rFonts w:ascii="Arial" w:eastAsia="Calibri" w:hAnsi="Arial" w:cs="Arial"/>
          <w:sz w:val="20"/>
          <w:szCs w:val="20"/>
          <w:lang w:eastAsia="en-US"/>
        </w:rPr>
      </w:pPr>
      <w:r w:rsidRPr="007E5745">
        <w:rPr>
          <w:rFonts w:ascii="Arial" w:eastAsia="Calibri" w:hAnsi="Arial" w:cs="Arial"/>
          <w:sz w:val="20"/>
          <w:szCs w:val="20"/>
          <w:lang w:eastAsia="en-US"/>
        </w:rPr>
        <w:t>Vu la loi n°58-206 du 22 août 1958, relatif à certaines indemnités justifiées par des sujétions aux personnels des services actifs de la garde nationale, de la police, de l’administration pénitentiaire, des douanes et des  forêts  tel  qu’il a été modifié par le décret n°70-79 du 11 mars 1970,</w:t>
      </w:r>
    </w:p>
    <w:p w14:paraId="017A08BC" w14:textId="77777777" w:rsidR="007E5745" w:rsidRPr="007E5745" w:rsidRDefault="007E5745" w:rsidP="007E5745">
      <w:pPr>
        <w:spacing w:before="100" w:beforeAutospacing="1" w:after="0"/>
        <w:ind w:left="283"/>
        <w:jc w:val="both"/>
        <w:rPr>
          <w:rFonts w:ascii="Arial" w:eastAsia="Calibri" w:hAnsi="Arial" w:cs="Arial"/>
          <w:sz w:val="24"/>
          <w:szCs w:val="24"/>
          <w:lang w:eastAsia="en-US"/>
        </w:rPr>
      </w:pPr>
      <w:r w:rsidRPr="007E5745">
        <w:rPr>
          <w:rFonts w:ascii="Arial" w:eastAsia="Calibri" w:hAnsi="Arial" w:cs="Arial"/>
          <w:sz w:val="20"/>
          <w:szCs w:val="20"/>
          <w:lang w:eastAsia="en-US"/>
        </w:rPr>
        <w:t>Vu l’avis du ministre des finances.</w:t>
      </w:r>
      <w:bookmarkStart w:id="0" w:name="_GoBack"/>
      <w:bookmarkEnd w:id="0"/>
    </w:p>
    <w:p w14:paraId="41ADB7E3" w14:textId="77777777" w:rsidR="007E5745" w:rsidRPr="007E5745" w:rsidRDefault="007E5745" w:rsidP="007E5745">
      <w:pPr>
        <w:spacing w:before="100" w:beforeAutospacing="1" w:after="0"/>
        <w:ind w:left="283"/>
        <w:jc w:val="both"/>
        <w:rPr>
          <w:rFonts w:ascii="Arial" w:eastAsia="Calibri" w:hAnsi="Arial" w:cs="Arial"/>
          <w:sz w:val="24"/>
          <w:szCs w:val="24"/>
          <w:lang w:eastAsia="en-US"/>
        </w:rPr>
      </w:pPr>
      <w:r w:rsidRPr="007E5745">
        <w:rPr>
          <w:rFonts w:ascii="Arial" w:eastAsia="Calibri" w:hAnsi="Arial" w:cs="Arial"/>
          <w:sz w:val="20"/>
          <w:szCs w:val="20"/>
          <w:lang w:eastAsia="en-US"/>
        </w:rPr>
        <w:t>Décrétons :</w:t>
      </w:r>
    </w:p>
    <w:p w14:paraId="40746405" w14:textId="77777777" w:rsidR="007E5745" w:rsidRPr="007E5745" w:rsidRDefault="007E5745" w:rsidP="007E5745">
      <w:pPr>
        <w:spacing w:before="100" w:beforeAutospacing="1" w:after="0"/>
        <w:ind w:left="283"/>
        <w:jc w:val="both"/>
        <w:rPr>
          <w:rFonts w:ascii="Arial" w:eastAsia="Calibri" w:hAnsi="Arial" w:cs="Arial"/>
          <w:b/>
          <w:bCs/>
          <w:i/>
          <w:iCs/>
          <w:sz w:val="20"/>
          <w:szCs w:val="20"/>
          <w:lang w:eastAsia="en-US"/>
        </w:rPr>
      </w:pPr>
      <w:r w:rsidRPr="007E5745">
        <w:rPr>
          <w:rFonts w:ascii="Arial" w:eastAsia="Calibri" w:hAnsi="Arial" w:cs="Arial"/>
          <w:b/>
          <w:bCs/>
          <w:i/>
          <w:iCs/>
          <w:sz w:val="20"/>
          <w:szCs w:val="20"/>
          <w:lang w:eastAsia="en-US"/>
        </w:rPr>
        <w:t xml:space="preserve">Article premier – </w:t>
      </w:r>
      <w:r w:rsidRPr="007E5745">
        <w:rPr>
          <w:rFonts w:ascii="Arial" w:eastAsia="Calibri" w:hAnsi="Arial" w:cs="Arial"/>
          <w:sz w:val="20"/>
          <w:szCs w:val="20"/>
          <w:lang w:eastAsia="en-US"/>
        </w:rPr>
        <w:t>Le tableau de l’article premier du décret  sus- visé n° 58-206 du 22 août 1958 est modifié comme suit :</w:t>
      </w:r>
    </w:p>
    <w:tbl>
      <w:tblPr>
        <w:tblStyle w:val="Grilledutableau1"/>
        <w:tblW w:w="9497" w:type="dxa"/>
        <w:tblInd w:w="392" w:type="dxa"/>
        <w:tblLook w:val="04A0" w:firstRow="1" w:lastRow="0" w:firstColumn="1" w:lastColumn="0" w:noHBand="0" w:noVBand="1"/>
      </w:tblPr>
      <w:tblGrid>
        <w:gridCol w:w="6946"/>
        <w:gridCol w:w="2551"/>
      </w:tblGrid>
      <w:tr w:rsidR="007E5745" w:rsidRPr="007E5745" w14:paraId="01380065" w14:textId="77777777" w:rsidTr="007E5745">
        <w:tc>
          <w:tcPr>
            <w:tcW w:w="6946" w:type="dxa"/>
            <w:tcBorders>
              <w:bottom w:val="single" w:sz="4" w:space="0" w:color="auto"/>
            </w:tcBorders>
            <w:vAlign w:val="center"/>
          </w:tcPr>
          <w:p w14:paraId="4C2DEFFA" w14:textId="77777777" w:rsidR="007E5745" w:rsidRPr="007E5745" w:rsidRDefault="007E5745" w:rsidP="007E5745">
            <w:pPr>
              <w:spacing w:after="0"/>
              <w:jc w:val="center"/>
              <w:rPr>
                <w:rFonts w:ascii="Arial" w:hAnsi="Arial" w:cs="Arial"/>
                <w:b/>
                <w:bCs/>
                <w:sz w:val="20"/>
                <w:szCs w:val="20"/>
                <w:lang w:eastAsia="en-US"/>
              </w:rPr>
            </w:pPr>
            <w:r w:rsidRPr="007E5745">
              <w:rPr>
                <w:rFonts w:ascii="Arial" w:hAnsi="Arial" w:cs="Arial"/>
                <w:b/>
                <w:bCs/>
                <w:sz w:val="20"/>
                <w:szCs w:val="20"/>
                <w:lang w:eastAsia="en-US"/>
              </w:rPr>
              <w:t>Grade</w:t>
            </w:r>
          </w:p>
        </w:tc>
        <w:tc>
          <w:tcPr>
            <w:tcW w:w="2551" w:type="dxa"/>
            <w:tcBorders>
              <w:bottom w:val="single" w:sz="4" w:space="0" w:color="auto"/>
            </w:tcBorders>
            <w:vAlign w:val="center"/>
          </w:tcPr>
          <w:p w14:paraId="195C33B2" w14:textId="77777777" w:rsidR="007E5745" w:rsidRPr="007E5745" w:rsidRDefault="007E5745" w:rsidP="007E5745">
            <w:pPr>
              <w:spacing w:after="0"/>
              <w:jc w:val="center"/>
              <w:rPr>
                <w:rFonts w:ascii="Arial" w:hAnsi="Arial" w:cs="Arial"/>
                <w:b/>
                <w:bCs/>
                <w:sz w:val="20"/>
                <w:szCs w:val="20"/>
                <w:lang w:eastAsia="en-US"/>
              </w:rPr>
            </w:pPr>
            <w:r w:rsidRPr="007E5745">
              <w:rPr>
                <w:rFonts w:ascii="Arial" w:hAnsi="Arial" w:cs="Arial"/>
                <w:b/>
                <w:bCs/>
                <w:sz w:val="20"/>
                <w:szCs w:val="20"/>
                <w:lang w:eastAsia="en-US"/>
              </w:rPr>
              <w:t>Montant  annuel de l’indemnité</w:t>
            </w:r>
          </w:p>
        </w:tc>
      </w:tr>
      <w:tr w:rsidR="007E5745" w:rsidRPr="007E5745" w14:paraId="7AB6BDD5" w14:textId="77777777" w:rsidTr="007E5745">
        <w:tc>
          <w:tcPr>
            <w:tcW w:w="6946" w:type="dxa"/>
            <w:tcBorders>
              <w:bottom w:val="nil"/>
              <w:right w:val="single" w:sz="4" w:space="0" w:color="auto"/>
            </w:tcBorders>
          </w:tcPr>
          <w:p w14:paraId="5C73D62A" w14:textId="77777777" w:rsidR="007E5745" w:rsidRPr="007E5745" w:rsidRDefault="007E5745" w:rsidP="007E5745">
            <w:pPr>
              <w:spacing w:after="0"/>
              <w:ind w:left="1134"/>
              <w:rPr>
                <w:rFonts w:ascii="Arial" w:hAnsi="Arial" w:cs="Arial"/>
                <w:sz w:val="20"/>
                <w:szCs w:val="20"/>
                <w:lang w:eastAsia="en-US"/>
              </w:rPr>
            </w:pPr>
            <w:r w:rsidRPr="007E5745">
              <w:rPr>
                <w:rFonts w:ascii="Arial" w:hAnsi="Arial" w:cs="Arial"/>
                <w:sz w:val="20"/>
                <w:szCs w:val="20"/>
                <w:lang w:eastAsia="en-US"/>
              </w:rPr>
              <w:t>3) ministre des finances</w:t>
            </w:r>
          </w:p>
          <w:p w14:paraId="62EC014B" w14:textId="77777777" w:rsidR="007E5745" w:rsidRPr="007E5745" w:rsidRDefault="007E5745" w:rsidP="007E5745">
            <w:pPr>
              <w:numPr>
                <w:ilvl w:val="0"/>
                <w:numId w:val="15"/>
              </w:numPr>
              <w:spacing w:after="0" w:line="240" w:lineRule="auto"/>
              <w:ind w:left="1777"/>
              <w:contextualSpacing/>
              <w:jc w:val="both"/>
              <w:rPr>
                <w:rFonts w:ascii="Arial" w:hAnsi="Arial" w:cs="Arial"/>
                <w:sz w:val="20"/>
                <w:szCs w:val="20"/>
                <w:lang w:eastAsia="en-US"/>
              </w:rPr>
            </w:pPr>
            <w:r w:rsidRPr="007E5745">
              <w:rPr>
                <w:rFonts w:ascii="Arial" w:hAnsi="Arial" w:cs="Arial"/>
                <w:sz w:val="20"/>
                <w:szCs w:val="20"/>
                <w:lang w:eastAsia="en-US"/>
              </w:rPr>
              <w:t>Commandant, capitaine, lieutenant des douanes</w:t>
            </w:r>
          </w:p>
          <w:p w14:paraId="12FA7F1A" w14:textId="39916396" w:rsidR="007E5745" w:rsidRPr="007E5745" w:rsidRDefault="007E5745" w:rsidP="007E5745">
            <w:pPr>
              <w:numPr>
                <w:ilvl w:val="0"/>
                <w:numId w:val="15"/>
              </w:numPr>
              <w:spacing w:after="0" w:line="240" w:lineRule="auto"/>
              <w:ind w:left="1777"/>
              <w:contextualSpacing/>
              <w:jc w:val="both"/>
              <w:rPr>
                <w:rFonts w:ascii="Arial" w:hAnsi="Arial" w:cs="Arial"/>
                <w:sz w:val="20"/>
                <w:szCs w:val="20"/>
                <w:lang w:eastAsia="en-US"/>
              </w:rPr>
            </w:pPr>
            <w:r w:rsidRPr="007E5745">
              <w:rPr>
                <w:rFonts w:ascii="Arial" w:hAnsi="Arial" w:cs="Arial"/>
                <w:sz w:val="20"/>
                <w:szCs w:val="20"/>
                <w:lang w:eastAsia="en-US"/>
              </w:rPr>
              <w:t>Adjudant-chef et maitre principal de 2</w:t>
            </w:r>
            <w:r w:rsidRPr="007E5745">
              <w:rPr>
                <w:rFonts w:ascii="Arial" w:hAnsi="Arial" w:cs="Arial"/>
                <w:sz w:val="20"/>
                <w:szCs w:val="20"/>
                <w:vertAlign w:val="superscript"/>
                <w:lang w:eastAsia="en-US"/>
              </w:rPr>
              <w:t>ème</w:t>
            </w:r>
            <w:r w:rsidRPr="007E5745">
              <w:rPr>
                <w:rFonts w:ascii="Arial" w:hAnsi="Arial" w:cs="Arial"/>
                <w:sz w:val="20"/>
                <w:szCs w:val="20"/>
                <w:lang w:eastAsia="en-US"/>
              </w:rPr>
              <w:t xml:space="preserve"> catégorie, </w:t>
            </w:r>
            <w:r w:rsidRPr="007E5745">
              <w:rPr>
                <w:rFonts w:ascii="Arial" w:hAnsi="Arial" w:cs="Arial"/>
                <w:sz w:val="20"/>
                <w:szCs w:val="20"/>
                <w:lang w:eastAsia="en-US"/>
              </w:rPr>
              <w:t>brigadier-chef</w:t>
            </w:r>
            <w:r w:rsidRPr="007E5745">
              <w:rPr>
                <w:rFonts w:ascii="Arial" w:hAnsi="Arial" w:cs="Arial"/>
                <w:sz w:val="20"/>
                <w:szCs w:val="20"/>
                <w:lang w:eastAsia="en-US"/>
              </w:rPr>
              <w:t xml:space="preserve"> et premier  maitre, mécanicien dépanneur, opérateur, radio- télégraphiste, conducteur de vedette, agent breveté, brigadier et patron des douanes</w:t>
            </w:r>
          </w:p>
        </w:tc>
        <w:tc>
          <w:tcPr>
            <w:tcW w:w="2551" w:type="dxa"/>
            <w:tcBorders>
              <w:left w:val="single" w:sz="4" w:space="0" w:color="auto"/>
              <w:bottom w:val="nil"/>
            </w:tcBorders>
            <w:vAlign w:val="center"/>
          </w:tcPr>
          <w:p w14:paraId="2EEACEA8" w14:textId="77777777" w:rsidR="007E5745" w:rsidRPr="007E5745" w:rsidRDefault="007E5745" w:rsidP="007E5745">
            <w:pPr>
              <w:spacing w:after="0"/>
              <w:rPr>
                <w:rFonts w:ascii="Arial" w:hAnsi="Arial" w:cs="Arial"/>
                <w:sz w:val="20"/>
                <w:szCs w:val="20"/>
                <w:lang w:eastAsia="en-US"/>
              </w:rPr>
            </w:pPr>
          </w:p>
          <w:p w14:paraId="0106BE14" w14:textId="77777777" w:rsidR="007E5745" w:rsidRPr="007E5745" w:rsidRDefault="007E5745" w:rsidP="007E5745">
            <w:pPr>
              <w:spacing w:after="0"/>
              <w:jc w:val="center"/>
              <w:rPr>
                <w:rFonts w:ascii="Arial" w:hAnsi="Arial" w:cs="Arial"/>
                <w:sz w:val="20"/>
                <w:szCs w:val="20"/>
                <w:lang w:eastAsia="en-US"/>
              </w:rPr>
            </w:pPr>
            <w:r w:rsidRPr="007E5745">
              <w:rPr>
                <w:rFonts w:ascii="Arial" w:hAnsi="Arial" w:cs="Arial"/>
                <w:sz w:val="20"/>
                <w:szCs w:val="20"/>
                <w:lang w:eastAsia="en-US"/>
              </w:rPr>
              <w:t>60.000 D</w:t>
            </w:r>
          </w:p>
        </w:tc>
      </w:tr>
      <w:tr w:rsidR="007E5745" w:rsidRPr="007E5745" w14:paraId="0AAD4130" w14:textId="77777777" w:rsidTr="007E5745">
        <w:trPr>
          <w:trHeight w:val="438"/>
        </w:trPr>
        <w:tc>
          <w:tcPr>
            <w:tcW w:w="6946" w:type="dxa"/>
            <w:tcBorders>
              <w:top w:val="nil"/>
              <w:bottom w:val="nil"/>
              <w:right w:val="single" w:sz="4" w:space="0" w:color="auto"/>
            </w:tcBorders>
          </w:tcPr>
          <w:p w14:paraId="4F9D99E7" w14:textId="77777777" w:rsidR="007E5745" w:rsidRPr="007E5745" w:rsidRDefault="007E5745" w:rsidP="007E5745">
            <w:pPr>
              <w:numPr>
                <w:ilvl w:val="0"/>
                <w:numId w:val="15"/>
              </w:numPr>
              <w:spacing w:after="0" w:line="240" w:lineRule="auto"/>
              <w:ind w:left="1777"/>
              <w:contextualSpacing/>
              <w:jc w:val="both"/>
              <w:rPr>
                <w:rFonts w:ascii="Arial" w:hAnsi="Arial" w:cs="Arial"/>
                <w:sz w:val="20"/>
                <w:szCs w:val="20"/>
                <w:lang w:eastAsia="en-US"/>
              </w:rPr>
            </w:pPr>
            <w:r w:rsidRPr="007E5745">
              <w:rPr>
                <w:rFonts w:ascii="Arial" w:hAnsi="Arial" w:cs="Arial"/>
                <w:sz w:val="20"/>
                <w:szCs w:val="20"/>
                <w:lang w:eastAsia="en-US"/>
              </w:rPr>
              <w:t>Douanes</w:t>
            </w:r>
          </w:p>
        </w:tc>
        <w:tc>
          <w:tcPr>
            <w:tcW w:w="2551" w:type="dxa"/>
            <w:tcBorders>
              <w:top w:val="nil"/>
              <w:left w:val="single" w:sz="4" w:space="0" w:color="auto"/>
              <w:bottom w:val="nil"/>
            </w:tcBorders>
            <w:vAlign w:val="center"/>
          </w:tcPr>
          <w:p w14:paraId="6C260C28" w14:textId="77777777" w:rsidR="007E5745" w:rsidRPr="007E5745" w:rsidRDefault="007E5745" w:rsidP="007E5745">
            <w:pPr>
              <w:spacing w:after="0"/>
              <w:jc w:val="center"/>
              <w:rPr>
                <w:rFonts w:ascii="Arial" w:hAnsi="Arial" w:cs="Arial"/>
                <w:sz w:val="20"/>
                <w:szCs w:val="20"/>
                <w:lang w:eastAsia="en-US"/>
              </w:rPr>
            </w:pPr>
            <w:r w:rsidRPr="007E5745">
              <w:rPr>
                <w:rFonts w:ascii="Arial" w:hAnsi="Arial" w:cs="Arial"/>
                <w:sz w:val="20"/>
                <w:szCs w:val="20"/>
                <w:lang w:eastAsia="en-US"/>
              </w:rPr>
              <w:t>48.000 D</w:t>
            </w:r>
          </w:p>
        </w:tc>
      </w:tr>
      <w:tr w:rsidR="007E5745" w:rsidRPr="007E5745" w14:paraId="2EC00C21" w14:textId="77777777" w:rsidTr="007E5745">
        <w:trPr>
          <w:trHeight w:val="415"/>
        </w:trPr>
        <w:tc>
          <w:tcPr>
            <w:tcW w:w="6946" w:type="dxa"/>
            <w:tcBorders>
              <w:top w:val="nil"/>
              <w:right w:val="single" w:sz="4" w:space="0" w:color="auto"/>
            </w:tcBorders>
          </w:tcPr>
          <w:p w14:paraId="33AA7C12" w14:textId="77777777" w:rsidR="007E5745" w:rsidRPr="007E5745" w:rsidRDefault="007E5745" w:rsidP="007E5745">
            <w:pPr>
              <w:numPr>
                <w:ilvl w:val="0"/>
                <w:numId w:val="15"/>
              </w:numPr>
              <w:spacing w:after="0" w:line="240" w:lineRule="auto"/>
              <w:ind w:left="1777"/>
              <w:contextualSpacing/>
              <w:jc w:val="both"/>
              <w:rPr>
                <w:rFonts w:ascii="Arial" w:hAnsi="Arial" w:cs="Arial"/>
                <w:sz w:val="20"/>
                <w:szCs w:val="20"/>
                <w:lang w:eastAsia="en-US"/>
              </w:rPr>
            </w:pPr>
            <w:r w:rsidRPr="007E5745">
              <w:rPr>
                <w:rFonts w:ascii="Arial" w:hAnsi="Arial" w:cs="Arial"/>
                <w:sz w:val="20"/>
                <w:szCs w:val="20"/>
                <w:lang w:eastAsia="en-US"/>
              </w:rPr>
              <w:t>Préposé chef et matelot chef des douanes</w:t>
            </w:r>
          </w:p>
        </w:tc>
        <w:tc>
          <w:tcPr>
            <w:tcW w:w="2551" w:type="dxa"/>
            <w:tcBorders>
              <w:top w:val="nil"/>
              <w:left w:val="single" w:sz="4" w:space="0" w:color="auto"/>
            </w:tcBorders>
            <w:vAlign w:val="center"/>
          </w:tcPr>
          <w:p w14:paraId="2E6689C5" w14:textId="77777777" w:rsidR="007E5745" w:rsidRPr="007E5745" w:rsidRDefault="007E5745" w:rsidP="007E5745">
            <w:pPr>
              <w:spacing w:after="0"/>
              <w:jc w:val="center"/>
              <w:rPr>
                <w:rFonts w:ascii="Arial" w:hAnsi="Arial" w:cs="Arial"/>
                <w:sz w:val="20"/>
                <w:szCs w:val="20"/>
                <w:lang w:eastAsia="en-US"/>
              </w:rPr>
            </w:pPr>
            <w:r w:rsidRPr="007E5745">
              <w:rPr>
                <w:rFonts w:ascii="Arial" w:hAnsi="Arial" w:cs="Arial"/>
                <w:sz w:val="20"/>
                <w:szCs w:val="20"/>
                <w:lang w:eastAsia="en-US"/>
              </w:rPr>
              <w:t>42.000 D</w:t>
            </w:r>
          </w:p>
        </w:tc>
      </w:tr>
    </w:tbl>
    <w:p w14:paraId="189E255B" w14:textId="77777777" w:rsidR="007E5745" w:rsidRPr="007E5745" w:rsidRDefault="007E5745" w:rsidP="007E5745">
      <w:pPr>
        <w:jc w:val="both"/>
        <w:rPr>
          <w:rFonts w:ascii="Arial" w:eastAsia="Calibri" w:hAnsi="Arial" w:cs="Arial"/>
          <w:sz w:val="20"/>
          <w:szCs w:val="20"/>
          <w:lang w:eastAsia="en-US"/>
        </w:rPr>
      </w:pPr>
    </w:p>
    <w:p w14:paraId="060BE5F6" w14:textId="77777777" w:rsidR="007E5745" w:rsidRPr="007E5745" w:rsidRDefault="007E5745" w:rsidP="007E5745">
      <w:pPr>
        <w:spacing w:before="100" w:beforeAutospacing="1" w:after="0"/>
        <w:ind w:left="283"/>
        <w:jc w:val="both"/>
        <w:rPr>
          <w:rFonts w:ascii="Arial" w:eastAsia="Calibri" w:hAnsi="Arial" w:cs="Arial"/>
          <w:sz w:val="20"/>
          <w:szCs w:val="20"/>
          <w:lang w:eastAsia="en-US"/>
        </w:rPr>
      </w:pPr>
      <w:r w:rsidRPr="007E5745">
        <w:rPr>
          <w:rFonts w:ascii="Arial" w:eastAsia="Calibri" w:hAnsi="Arial" w:cs="Arial"/>
          <w:b/>
          <w:bCs/>
          <w:i/>
          <w:iCs/>
          <w:sz w:val="20"/>
          <w:szCs w:val="20"/>
          <w:lang w:eastAsia="en-US"/>
        </w:rPr>
        <w:t xml:space="preserve">Art. 2 – </w:t>
      </w:r>
      <w:r w:rsidRPr="007E5745">
        <w:rPr>
          <w:rFonts w:ascii="Arial" w:eastAsia="Calibri" w:hAnsi="Arial" w:cs="Arial"/>
          <w:sz w:val="20"/>
          <w:szCs w:val="20"/>
          <w:lang w:eastAsia="en-US"/>
        </w:rPr>
        <w:t>Le ministre des finances est chargé de l’exécution du présent  décret qui prend effet à compter du 1</w:t>
      </w:r>
      <w:r w:rsidRPr="007E5745">
        <w:rPr>
          <w:rFonts w:ascii="Arial" w:eastAsia="Calibri" w:hAnsi="Arial" w:cs="Arial"/>
          <w:sz w:val="20"/>
          <w:szCs w:val="20"/>
          <w:vertAlign w:val="superscript"/>
          <w:lang w:eastAsia="en-US"/>
        </w:rPr>
        <w:t>er</w:t>
      </w:r>
      <w:r w:rsidRPr="007E5745">
        <w:rPr>
          <w:rFonts w:ascii="Arial" w:eastAsia="Calibri" w:hAnsi="Arial" w:cs="Arial"/>
          <w:sz w:val="20"/>
          <w:szCs w:val="20"/>
          <w:lang w:eastAsia="en-US"/>
        </w:rPr>
        <w:t xml:space="preserve"> janvier 1971 et qui sera publié au journal officiel de la république Tunisienne.</w:t>
      </w:r>
    </w:p>
    <w:p w14:paraId="42E8A3F6" w14:textId="3BD7116D" w:rsidR="00E953A2" w:rsidRPr="007E5745" w:rsidRDefault="007E5745" w:rsidP="007E5745">
      <w:pPr>
        <w:spacing w:before="100" w:beforeAutospacing="1" w:after="0"/>
        <w:ind w:left="283"/>
        <w:jc w:val="both"/>
        <w:rPr>
          <w:rFonts w:ascii="Arial" w:eastAsia="Calibri" w:hAnsi="Arial" w:cs="Arial"/>
          <w:b/>
          <w:bCs/>
          <w:i/>
          <w:iCs/>
          <w:sz w:val="20"/>
          <w:szCs w:val="20"/>
          <w:lang w:eastAsia="en-US"/>
        </w:rPr>
      </w:pPr>
      <w:r>
        <w:rPr>
          <w:rFonts w:ascii="Arial" w:eastAsia="Calibri" w:hAnsi="Arial" w:cs="Arial"/>
          <w:b/>
          <w:bCs/>
          <w:sz w:val="20"/>
          <w:szCs w:val="20"/>
          <w:lang w:eastAsia="en-US"/>
        </w:rPr>
        <w:t>Fait à Tunis, le 2 août 1972.</w:t>
      </w: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CC22E" w14:textId="77777777" w:rsidR="00C61994" w:rsidRDefault="00C61994" w:rsidP="008F3F2D">
      <w:r>
        <w:separator/>
      </w:r>
    </w:p>
  </w:endnote>
  <w:endnote w:type="continuationSeparator" w:id="0">
    <w:p w14:paraId="60B5D2D2" w14:textId="77777777" w:rsidR="00C61994" w:rsidRDefault="00C619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574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574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574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574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574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574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574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574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B0EF" w14:textId="77777777" w:rsidR="00C61994" w:rsidRDefault="00C61994" w:rsidP="008F3F2D">
      <w:r>
        <w:separator/>
      </w:r>
    </w:p>
  </w:footnote>
  <w:footnote w:type="continuationSeparator" w:id="0">
    <w:p w14:paraId="3C0B0FFC" w14:textId="77777777" w:rsidR="00C61994" w:rsidRDefault="00C619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3B3E39"/>
    <w:multiLevelType w:val="hybridMultilevel"/>
    <w:tmpl w:val="9676C9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4"/>
  </w:num>
  <w:num w:numId="3">
    <w:abstractNumId w:val="12"/>
  </w:num>
  <w:num w:numId="4">
    <w:abstractNumId w:val="5"/>
  </w:num>
  <w:num w:numId="5">
    <w:abstractNumId w:val="10"/>
  </w:num>
  <w:num w:numId="6">
    <w:abstractNumId w:val="14"/>
  </w:num>
  <w:num w:numId="7">
    <w:abstractNumId w:val="8"/>
  </w:num>
  <w:num w:numId="8">
    <w:abstractNumId w:val="1"/>
  </w:num>
  <w:num w:numId="9">
    <w:abstractNumId w:val="7"/>
  </w:num>
  <w:num w:numId="10">
    <w:abstractNumId w:val="6"/>
  </w:num>
  <w:num w:numId="11">
    <w:abstractNumId w:val="3"/>
  </w:num>
  <w:num w:numId="12">
    <w:abstractNumId w:val="13"/>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1E6787"/>
    <w:rsid w:val="0020398F"/>
    <w:rsid w:val="002B19EE"/>
    <w:rsid w:val="00354137"/>
    <w:rsid w:val="003B6CD4"/>
    <w:rsid w:val="00584322"/>
    <w:rsid w:val="00595DBD"/>
    <w:rsid w:val="005F7BF4"/>
    <w:rsid w:val="00684129"/>
    <w:rsid w:val="007244D3"/>
    <w:rsid w:val="0075404E"/>
    <w:rsid w:val="007E5745"/>
    <w:rsid w:val="0089552E"/>
    <w:rsid w:val="008F3F2D"/>
    <w:rsid w:val="00957F0E"/>
    <w:rsid w:val="0097472C"/>
    <w:rsid w:val="00A00644"/>
    <w:rsid w:val="00A04F09"/>
    <w:rsid w:val="00A24F23"/>
    <w:rsid w:val="00A90F21"/>
    <w:rsid w:val="00AD2268"/>
    <w:rsid w:val="00B05438"/>
    <w:rsid w:val="00B617F1"/>
    <w:rsid w:val="00C1635D"/>
    <w:rsid w:val="00C61994"/>
    <w:rsid w:val="00C64B86"/>
    <w:rsid w:val="00CA3D64"/>
    <w:rsid w:val="00CA544B"/>
    <w:rsid w:val="00CC4ADF"/>
    <w:rsid w:val="00D07749"/>
    <w:rsid w:val="00DC4590"/>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7E5745"/>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7E5745"/>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2012-10-05T10:25:00Z</dcterms:created>
  <dcterms:modified xsi:type="dcterms:W3CDTF">2012-10-05T10:25:00Z</dcterms:modified>
</cp:coreProperties>
</file>