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B33E" w14:textId="77777777" w:rsidR="001131C0" w:rsidRDefault="001131C0" w:rsidP="00CA1590">
      <w:pPr>
        <w:bidi/>
        <w:spacing w:after="0" w:line="240" w:lineRule="auto"/>
        <w:ind w:left="284"/>
        <w:jc w:val="both"/>
        <w:rPr>
          <w:rFonts w:ascii="Arial" w:hAnsi="Arial" w:cs="Arial"/>
        </w:rPr>
      </w:pPr>
    </w:p>
    <w:p w14:paraId="5C59B06D" w14:textId="77777777" w:rsidR="00CA1590" w:rsidRDefault="00CA1590" w:rsidP="00CA1590">
      <w:pPr>
        <w:bidi/>
        <w:spacing w:after="0" w:line="240" w:lineRule="auto"/>
        <w:ind w:left="284"/>
        <w:jc w:val="both"/>
        <w:rPr>
          <w:rFonts w:ascii="Arial" w:hAnsi="Arial" w:cs="Arial"/>
          <w:b/>
          <w:bCs/>
          <w:sz w:val="24"/>
          <w:szCs w:val="24"/>
        </w:rPr>
      </w:pPr>
    </w:p>
    <w:p w14:paraId="7B91F2D2" w14:textId="77777777" w:rsidR="001131C0" w:rsidRDefault="001131C0" w:rsidP="00CA1590">
      <w:pPr>
        <w:bidi/>
        <w:spacing w:after="0" w:line="240" w:lineRule="auto"/>
        <w:ind w:left="284"/>
        <w:jc w:val="both"/>
        <w:rPr>
          <w:rFonts w:ascii="Arial" w:hAnsi="Arial" w:cs="Arial"/>
          <w:b/>
          <w:bCs/>
          <w:sz w:val="24"/>
          <w:szCs w:val="24"/>
          <w:rtl/>
        </w:rPr>
      </w:pPr>
      <w:r w:rsidRPr="001131C0">
        <w:rPr>
          <w:rFonts w:ascii="Arial" w:hAnsi="Arial" w:cs="Arial"/>
          <w:b/>
          <w:bCs/>
          <w:sz w:val="24"/>
          <w:szCs w:val="24"/>
          <w:rtl/>
        </w:rPr>
        <w:t>أمر عدد 13 لسنة 2015 مؤرخ في 2 جانفي 2015 يتعلق بتنقيح وإتمام الأمر عدد 2376 لسنة 2004 المؤرخ في 14 أكتوبر 2004 المتعلق بضبط النظام الأساسي الخاص بأعوان سلك كتابة المحكمة الإدارية</w:t>
      </w:r>
    </w:p>
    <w:p w14:paraId="41474BF7" w14:textId="77777777" w:rsidR="001131C0" w:rsidRDefault="001131C0" w:rsidP="00CA1590">
      <w:pPr>
        <w:bidi/>
        <w:spacing w:after="0" w:line="240" w:lineRule="auto"/>
        <w:ind w:left="284"/>
        <w:jc w:val="both"/>
        <w:rPr>
          <w:rFonts w:ascii="Arial" w:hAnsi="Arial" w:cs="Arial"/>
          <w:b/>
          <w:bCs/>
          <w:sz w:val="24"/>
          <w:szCs w:val="24"/>
        </w:rPr>
      </w:pPr>
    </w:p>
    <w:p w14:paraId="01C8D416" w14:textId="291D4E30" w:rsidR="001131C0" w:rsidRPr="001131C0" w:rsidRDefault="001131C0" w:rsidP="00CA1590">
      <w:pPr>
        <w:bidi/>
        <w:spacing w:after="0" w:line="240" w:lineRule="auto"/>
        <w:ind w:left="284"/>
        <w:jc w:val="both"/>
        <w:rPr>
          <w:rFonts w:ascii="Arial" w:hAnsi="Arial" w:cs="Arial"/>
          <w:b/>
          <w:bCs/>
          <w:sz w:val="24"/>
          <w:szCs w:val="24"/>
        </w:rPr>
      </w:pPr>
      <w:r w:rsidRPr="001131C0">
        <w:rPr>
          <w:rFonts w:ascii="Arial" w:hAnsi="Arial" w:cs="Arial"/>
          <w:rtl/>
        </w:rPr>
        <w:t>إن رئيس الحكومة،</w:t>
      </w:r>
    </w:p>
    <w:p w14:paraId="107CF430" w14:textId="77777777" w:rsidR="001131C0" w:rsidRPr="001131C0" w:rsidRDefault="001131C0" w:rsidP="00CA1590">
      <w:pPr>
        <w:bidi/>
        <w:spacing w:after="0" w:line="240" w:lineRule="auto"/>
        <w:ind w:left="284"/>
        <w:jc w:val="both"/>
        <w:rPr>
          <w:rFonts w:ascii="Arial" w:hAnsi="Arial" w:cs="Arial"/>
          <w:rtl/>
        </w:rPr>
      </w:pPr>
    </w:p>
    <w:p w14:paraId="24B07EA7"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بعد الاطلاع على الدستور وخاصة الفصل 148 منه،</w:t>
      </w:r>
    </w:p>
    <w:p w14:paraId="21F79367" w14:textId="77777777" w:rsidR="001131C0" w:rsidRPr="001131C0" w:rsidRDefault="001131C0" w:rsidP="00CA1590">
      <w:pPr>
        <w:bidi/>
        <w:spacing w:after="0" w:line="240" w:lineRule="auto"/>
        <w:ind w:left="284"/>
        <w:jc w:val="both"/>
        <w:rPr>
          <w:rFonts w:ascii="Arial" w:hAnsi="Arial" w:cs="Arial"/>
          <w:rtl/>
        </w:rPr>
      </w:pPr>
    </w:p>
    <w:p w14:paraId="31DE9BE1"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القانون التأسيسي عدد 6 لسنة 2011 المؤرخ في 16 ديسمبر 2011 المتعلق بالتنظيم المؤقت للسلط العمومية كما تم تنقيحه وإتمامه بمقتضى القانون الأساسي عدد 3 لسنة 2014 المؤرخ في 3 فيفري 2014 والقانون الأساسي عدد 4 لسنة 2014 المؤرخ في 5 فيفري 2014،</w:t>
      </w:r>
    </w:p>
    <w:p w14:paraId="440EC8D3" w14:textId="77777777" w:rsidR="001131C0" w:rsidRPr="001131C0" w:rsidRDefault="001131C0" w:rsidP="00CA1590">
      <w:pPr>
        <w:bidi/>
        <w:spacing w:after="0" w:line="240" w:lineRule="auto"/>
        <w:ind w:left="284"/>
        <w:jc w:val="both"/>
        <w:rPr>
          <w:rFonts w:ascii="Arial" w:hAnsi="Arial" w:cs="Arial"/>
          <w:rtl/>
        </w:rPr>
      </w:pPr>
    </w:p>
    <w:p w14:paraId="063B2870"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القانون عدد 40 لسنة 1972 المؤرخ في أول جوان 1972 المتعلق بالمحكمة الإدارية، وعلى جميع النصوص التي نقحته وتممته وخاصة القانون الأساسي عدد 2 لسنة 2011 المؤرخ في 3 جانفي 2011،</w:t>
      </w:r>
    </w:p>
    <w:p w14:paraId="268B05BD" w14:textId="77777777" w:rsidR="001131C0" w:rsidRPr="001131C0" w:rsidRDefault="001131C0" w:rsidP="00CA1590">
      <w:pPr>
        <w:bidi/>
        <w:spacing w:after="0" w:line="240" w:lineRule="auto"/>
        <w:ind w:left="284"/>
        <w:jc w:val="both"/>
        <w:rPr>
          <w:rFonts w:ascii="Arial" w:hAnsi="Arial" w:cs="Arial"/>
          <w:rtl/>
        </w:rPr>
      </w:pPr>
    </w:p>
    <w:p w14:paraId="3E67EE37"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القانون عدد 67 لسنة 1972 المؤرخ في أول أوت 1972 المتعلق بتسيير المحكمة الإدارية وضبط النظام الأساسي لأعضائها، وعلى جميع النصوص التي نقحته وتممته وخاصة القانون الأساسي عدد 78 لسنة 2001 المؤرخ في 24 جويلية 2001،</w:t>
      </w:r>
    </w:p>
    <w:p w14:paraId="342A838E" w14:textId="77777777" w:rsidR="001131C0" w:rsidRPr="001131C0" w:rsidRDefault="001131C0" w:rsidP="00CA1590">
      <w:pPr>
        <w:bidi/>
        <w:spacing w:after="0" w:line="240" w:lineRule="auto"/>
        <w:ind w:left="284"/>
        <w:jc w:val="both"/>
        <w:rPr>
          <w:rFonts w:ascii="Arial" w:hAnsi="Arial" w:cs="Arial"/>
          <w:rtl/>
        </w:rPr>
      </w:pPr>
    </w:p>
    <w:p w14:paraId="5E05B4AD"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وتممته وخاصة المرسوم عدد 89 لسنة 2011 المؤرخ في 23 سبتمبر 2011،</w:t>
      </w:r>
    </w:p>
    <w:p w14:paraId="1BF145BD" w14:textId="77777777" w:rsidR="001131C0" w:rsidRPr="001131C0" w:rsidRDefault="001131C0" w:rsidP="00CA1590">
      <w:pPr>
        <w:bidi/>
        <w:spacing w:after="0" w:line="240" w:lineRule="auto"/>
        <w:ind w:left="284"/>
        <w:jc w:val="both"/>
        <w:rPr>
          <w:rFonts w:ascii="Arial" w:hAnsi="Arial" w:cs="Arial"/>
          <w:rtl/>
        </w:rPr>
      </w:pPr>
    </w:p>
    <w:p w14:paraId="120D24ED"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القانون عدد 12 لسنة 1985 المؤرخ في 5 مارس 1985 المتعلق بنظام الجرايات المدنية والعسكرية للتقاعد وللباقين على قيد الحياة في القطاع العمومي كما تم إتمامه وتنقيحه خاصة بالمرسوم عدد 48 لسنة 2011 المؤرخ في 4 جوان 2011 المتعلق بتنقيح القوانين المنظمة للجرايات المدنية والعسكرية للتقاعد وللباقين على قيد الحياة في القطاع العمومي ولنظام تقاعد أعضاء الحكومة ولنظام تقاعد الولاة،</w:t>
      </w:r>
    </w:p>
    <w:p w14:paraId="1D4E5398" w14:textId="77777777" w:rsidR="001131C0" w:rsidRPr="001131C0" w:rsidRDefault="001131C0" w:rsidP="00CA1590">
      <w:pPr>
        <w:bidi/>
        <w:spacing w:after="0" w:line="240" w:lineRule="auto"/>
        <w:ind w:left="284"/>
        <w:jc w:val="both"/>
        <w:rPr>
          <w:rFonts w:ascii="Arial" w:hAnsi="Arial" w:cs="Arial"/>
          <w:rtl/>
        </w:rPr>
      </w:pPr>
    </w:p>
    <w:p w14:paraId="60E9AA3C"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الأمر عدد 1216 لسنة 1985 المؤرخ في 5 أكتوبر 1985 المتعلق بضبط شروط إدماج العملة ضمن إطارات الموظفين،</w:t>
      </w:r>
    </w:p>
    <w:p w14:paraId="7F34AC97" w14:textId="77777777" w:rsidR="001131C0" w:rsidRPr="001131C0" w:rsidRDefault="001131C0" w:rsidP="00CA1590">
      <w:pPr>
        <w:bidi/>
        <w:spacing w:after="0" w:line="240" w:lineRule="auto"/>
        <w:ind w:left="284"/>
        <w:jc w:val="both"/>
        <w:rPr>
          <w:rFonts w:ascii="Arial" w:hAnsi="Arial" w:cs="Arial"/>
          <w:rtl/>
        </w:rPr>
      </w:pPr>
    </w:p>
    <w:p w14:paraId="22CE132B"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الأمر عدد 2173 لسنة 1990 المؤرخ في 24 ديسمبر 1990 المتعلق بتنظيم الكتابة العامة للمحكمة الإدارية كما تم تنقيحه بالأمر عدد 66 لسنة 1998 المؤرخ في 19 جانفي 1998 وإتمامه بالأمر عدد 3698 لسنة 2008 المؤرخ في 2 ديسمبر 2008،</w:t>
      </w:r>
    </w:p>
    <w:p w14:paraId="56C22B44" w14:textId="77777777" w:rsidR="001131C0" w:rsidRPr="001131C0" w:rsidRDefault="001131C0" w:rsidP="00CA1590">
      <w:pPr>
        <w:bidi/>
        <w:spacing w:after="0" w:line="240" w:lineRule="auto"/>
        <w:ind w:left="284"/>
        <w:jc w:val="both"/>
        <w:rPr>
          <w:rFonts w:ascii="Arial" w:hAnsi="Arial" w:cs="Arial"/>
          <w:rtl/>
        </w:rPr>
      </w:pPr>
    </w:p>
    <w:p w14:paraId="7202B6F4"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الأمر عدد 1832 لسنة 1997 المؤرخ في 16 سبتمبر 1997 المتعلق بضبط المرتب الأساسي لأعوان الدولة والجماعات المحلية والمؤسسات العمومية ذات الصبغة الإدارية كما تم تنقيحه وإتمامه بالأمر عدد 268 لسنة 2007 المؤرخ في 12 فيفري 2007،</w:t>
      </w:r>
    </w:p>
    <w:p w14:paraId="6D319404" w14:textId="77777777" w:rsidR="001131C0" w:rsidRPr="001131C0" w:rsidRDefault="001131C0" w:rsidP="00CA1590">
      <w:pPr>
        <w:bidi/>
        <w:spacing w:after="0" w:line="240" w:lineRule="auto"/>
        <w:ind w:left="284"/>
        <w:jc w:val="both"/>
        <w:rPr>
          <w:rFonts w:ascii="Arial" w:hAnsi="Arial" w:cs="Arial"/>
          <w:rtl/>
        </w:rPr>
      </w:pPr>
    </w:p>
    <w:p w14:paraId="22085484"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الأمر عدد 834 لسنة 1998 المؤرخ في 13 أفريل 1998 المتعلق بضبط النظام الأساسي الخاص بالسلك الإداري المشترك للإدارات العمومية، وعلى جميع النصوص التي نقحته وتممته وخاصة الأمر عدد 559 لسنة 2008 المؤرخ في 4 مارس 2008 والأمر عدد 2362 لسنة 2012 المؤرخ في 10 أكتوبر 2012،</w:t>
      </w:r>
    </w:p>
    <w:p w14:paraId="349F178F" w14:textId="77777777" w:rsidR="001131C0" w:rsidRPr="001131C0" w:rsidRDefault="001131C0" w:rsidP="00CA1590">
      <w:pPr>
        <w:bidi/>
        <w:spacing w:after="0" w:line="240" w:lineRule="auto"/>
        <w:ind w:left="284"/>
        <w:jc w:val="both"/>
        <w:rPr>
          <w:rFonts w:ascii="Arial" w:hAnsi="Arial" w:cs="Arial"/>
          <w:rtl/>
        </w:rPr>
      </w:pPr>
    </w:p>
    <w:p w14:paraId="565786FD"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الأمر عدد 2509 لسنة 1998 المؤرخ في 18 ديسمبر 1998 المتعلق بضبط النظام الأساسي الخاص بسلك عملة الدولة والجماعات المحلية والمؤسسات العمومية ذات الصبغة الإدارية،</w:t>
      </w:r>
    </w:p>
    <w:p w14:paraId="76E28108" w14:textId="77777777" w:rsidR="001131C0" w:rsidRPr="001131C0" w:rsidRDefault="001131C0" w:rsidP="00CA1590">
      <w:pPr>
        <w:bidi/>
        <w:spacing w:after="0" w:line="240" w:lineRule="auto"/>
        <w:ind w:left="284"/>
        <w:jc w:val="both"/>
        <w:rPr>
          <w:rFonts w:ascii="Arial" w:hAnsi="Arial" w:cs="Arial"/>
          <w:rtl/>
        </w:rPr>
      </w:pPr>
    </w:p>
    <w:p w14:paraId="6A7D0A09"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الأمر عدد 12 لسنة 1999 المؤرخ في 4 جانفي 1999 المتعلق بضبط الأصناف التي تنتمي إليها مختلف رتب موظفي الدولة والجماعات المحلية والمؤسسات العمومية ذات الصبغة الإدارية كما تم تنقيحه وإتمامه بالأمر عدد 2338 لسنة 2003 المؤرخ في 11 نوفمبر 2003،</w:t>
      </w:r>
    </w:p>
    <w:p w14:paraId="59F6FE51" w14:textId="77777777" w:rsidR="001131C0" w:rsidRPr="001131C0" w:rsidRDefault="001131C0" w:rsidP="00CA1590">
      <w:pPr>
        <w:bidi/>
        <w:spacing w:after="0" w:line="240" w:lineRule="auto"/>
        <w:ind w:left="284"/>
        <w:jc w:val="both"/>
        <w:rPr>
          <w:rFonts w:ascii="Arial" w:hAnsi="Arial" w:cs="Arial"/>
          <w:rtl/>
        </w:rPr>
      </w:pPr>
    </w:p>
    <w:p w14:paraId="73875DB6"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 xml:space="preserve">وعلى الأمر عدد 2376 لسنة 2004 المؤرخ في 14 أكتوبر 2004 المتعلق بضبط النظام الأساسي الخاص بأعوان سلك كتابة المحكمة الإدارية، </w:t>
      </w:r>
    </w:p>
    <w:p w14:paraId="2B230BB9" w14:textId="77777777" w:rsidR="001131C0" w:rsidRPr="001131C0" w:rsidRDefault="001131C0" w:rsidP="00CA1590">
      <w:pPr>
        <w:bidi/>
        <w:spacing w:after="0" w:line="240" w:lineRule="auto"/>
        <w:ind w:left="284"/>
        <w:jc w:val="both"/>
        <w:rPr>
          <w:rFonts w:ascii="Arial" w:hAnsi="Arial" w:cs="Arial"/>
          <w:rtl/>
        </w:rPr>
      </w:pPr>
    </w:p>
    <w:p w14:paraId="7A8594BD"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رأي وزير الاقتصاد والمالية،</w:t>
      </w:r>
    </w:p>
    <w:p w14:paraId="71A8235F" w14:textId="77777777" w:rsidR="001131C0" w:rsidRPr="001131C0" w:rsidRDefault="001131C0" w:rsidP="00CA1590">
      <w:pPr>
        <w:bidi/>
        <w:spacing w:after="0" w:line="240" w:lineRule="auto"/>
        <w:ind w:left="284"/>
        <w:jc w:val="both"/>
        <w:rPr>
          <w:rFonts w:ascii="Arial" w:hAnsi="Arial" w:cs="Arial"/>
          <w:rtl/>
        </w:rPr>
      </w:pPr>
    </w:p>
    <w:p w14:paraId="5A61F85C"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رأي المحكمة الإدارية،</w:t>
      </w:r>
    </w:p>
    <w:p w14:paraId="7B81BD35" w14:textId="77777777" w:rsidR="001131C0" w:rsidRPr="001131C0" w:rsidRDefault="001131C0" w:rsidP="00CA1590">
      <w:pPr>
        <w:bidi/>
        <w:spacing w:after="0" w:line="240" w:lineRule="auto"/>
        <w:ind w:left="284"/>
        <w:jc w:val="both"/>
        <w:rPr>
          <w:rFonts w:ascii="Arial" w:hAnsi="Arial" w:cs="Arial"/>
          <w:rtl/>
        </w:rPr>
      </w:pPr>
    </w:p>
    <w:p w14:paraId="3B4487A6"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وعلى مداولة مجلس الوزراء وبعد إعلام رئيس الجمهورية</w:t>
      </w:r>
      <w:r w:rsidRPr="001131C0">
        <w:rPr>
          <w:rFonts w:ascii="Arial" w:hAnsi="Arial" w:cs="Arial"/>
        </w:rPr>
        <w:t>.</w:t>
      </w:r>
    </w:p>
    <w:p w14:paraId="4F14CCA3" w14:textId="77777777" w:rsidR="001131C0" w:rsidRPr="001131C0" w:rsidRDefault="001131C0" w:rsidP="00CA1590">
      <w:pPr>
        <w:bidi/>
        <w:spacing w:after="0" w:line="240" w:lineRule="auto"/>
        <w:ind w:left="284"/>
        <w:jc w:val="both"/>
        <w:rPr>
          <w:rFonts w:ascii="Arial" w:hAnsi="Arial" w:cs="Arial"/>
          <w:rtl/>
        </w:rPr>
      </w:pPr>
    </w:p>
    <w:p w14:paraId="6BFB612E"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يصدر الأمر الآتي نصه</w:t>
      </w:r>
      <w:r w:rsidRPr="001131C0">
        <w:rPr>
          <w:rFonts w:ascii="Arial" w:hAnsi="Arial" w:cs="Arial"/>
        </w:rPr>
        <w:t xml:space="preserve"> :</w:t>
      </w:r>
    </w:p>
    <w:p w14:paraId="25CC04FE" w14:textId="77777777" w:rsidR="001131C0" w:rsidRPr="001131C0" w:rsidRDefault="001131C0" w:rsidP="00CA1590">
      <w:pPr>
        <w:bidi/>
        <w:spacing w:after="0" w:line="240" w:lineRule="auto"/>
        <w:ind w:left="284"/>
        <w:jc w:val="both"/>
        <w:rPr>
          <w:rFonts w:ascii="Arial" w:hAnsi="Arial" w:cs="Arial"/>
          <w:rtl/>
        </w:rPr>
      </w:pPr>
    </w:p>
    <w:p w14:paraId="1EE851AD" w14:textId="662EC75C" w:rsidR="001131C0" w:rsidRPr="001131C0" w:rsidRDefault="001131C0" w:rsidP="00CA1590">
      <w:pPr>
        <w:bidi/>
        <w:spacing w:after="0" w:line="240" w:lineRule="auto"/>
        <w:ind w:left="284"/>
        <w:jc w:val="both"/>
        <w:rPr>
          <w:rFonts w:ascii="Arial" w:hAnsi="Arial" w:cs="Arial"/>
          <w:rtl/>
        </w:rPr>
      </w:pPr>
      <w:r w:rsidRPr="001131C0">
        <w:rPr>
          <w:rFonts w:ascii="Arial" w:hAnsi="Arial" w:cs="Arial"/>
          <w:b/>
          <w:bCs/>
          <w:rtl/>
        </w:rPr>
        <w:t>الفصل الأول</w:t>
      </w:r>
      <w:r w:rsidRPr="001131C0">
        <w:rPr>
          <w:rFonts w:ascii="Arial" w:hAnsi="Arial" w:cs="Arial"/>
          <w:b/>
          <w:bCs/>
        </w:rPr>
        <w:t xml:space="preserve"> –</w:t>
      </w:r>
      <w:r>
        <w:rPr>
          <w:rFonts w:ascii="Arial" w:hAnsi="Arial" w:cs="Arial"/>
        </w:rPr>
        <w:t xml:space="preserve"> </w:t>
      </w:r>
      <w:r w:rsidRPr="001131C0">
        <w:rPr>
          <w:rFonts w:ascii="Arial" w:hAnsi="Arial" w:cs="Arial"/>
          <w:rtl/>
        </w:rPr>
        <w:t xml:space="preserve"> تلغى أحكام الفصل 36 من الأمر عدد 2376 لسنة 2004 المؤرخ في 14 أكتوبر 2004 المشار إليه أعلاه وتعوض بالأحكام التالية</w:t>
      </w:r>
      <w:r w:rsidRPr="001131C0">
        <w:rPr>
          <w:rFonts w:ascii="Arial" w:hAnsi="Arial" w:cs="Arial"/>
        </w:rPr>
        <w:t xml:space="preserve"> :</w:t>
      </w:r>
    </w:p>
    <w:p w14:paraId="519225AD" w14:textId="77777777" w:rsidR="001131C0" w:rsidRPr="001131C0" w:rsidRDefault="001131C0" w:rsidP="00CA1590">
      <w:pPr>
        <w:bidi/>
        <w:spacing w:after="0" w:line="240" w:lineRule="auto"/>
        <w:ind w:left="284"/>
        <w:jc w:val="both"/>
        <w:rPr>
          <w:rFonts w:ascii="Arial" w:hAnsi="Arial" w:cs="Arial"/>
          <w:rtl/>
        </w:rPr>
      </w:pPr>
    </w:p>
    <w:p w14:paraId="07F6AEAD" w14:textId="77777777" w:rsidR="001131C0" w:rsidRDefault="001131C0" w:rsidP="00CA1590">
      <w:pPr>
        <w:bidi/>
        <w:spacing w:after="0" w:line="240" w:lineRule="auto"/>
        <w:ind w:left="284"/>
        <w:jc w:val="both"/>
        <w:rPr>
          <w:rFonts w:ascii="Arial" w:hAnsi="Arial" w:cs="Arial"/>
          <w:b/>
          <w:bCs/>
          <w:rtl/>
        </w:rPr>
      </w:pPr>
      <w:r w:rsidRPr="001131C0">
        <w:rPr>
          <w:rFonts w:ascii="Arial" w:hAnsi="Arial" w:cs="Arial"/>
          <w:b/>
          <w:bCs/>
          <w:rtl/>
        </w:rPr>
        <w:t xml:space="preserve">الفصل 36 (جديد) </w:t>
      </w:r>
    </w:p>
    <w:p w14:paraId="6EBC30CA" w14:textId="2FD0C28D" w:rsidR="001131C0" w:rsidRPr="001131C0" w:rsidRDefault="001131C0" w:rsidP="00CA1590">
      <w:pPr>
        <w:pStyle w:val="Paragraphedeliste"/>
        <w:numPr>
          <w:ilvl w:val="0"/>
          <w:numId w:val="25"/>
        </w:numPr>
        <w:bidi/>
        <w:spacing w:after="0" w:line="240" w:lineRule="auto"/>
        <w:ind w:left="927"/>
        <w:jc w:val="both"/>
        <w:rPr>
          <w:rFonts w:ascii="Arial" w:hAnsi="Arial" w:cs="Arial"/>
          <w:rtl/>
        </w:rPr>
      </w:pPr>
      <w:r w:rsidRPr="001131C0">
        <w:rPr>
          <w:rFonts w:ascii="Arial" w:hAnsi="Arial" w:cs="Arial"/>
          <w:rtl/>
        </w:rPr>
        <w:t>يدمج بهذا السلك وبطلب منهم في أجل أقصاه ستة أشهر من تاريخ دخول هذا الأمر حيز التنفيذ الأعوان المترسمون المباشرون للمهام الموكولة لسلك كتابة المحكمة الإدارية</w:t>
      </w:r>
      <w:r w:rsidRPr="001131C0">
        <w:rPr>
          <w:rFonts w:ascii="Arial" w:hAnsi="Arial" w:cs="Arial"/>
        </w:rPr>
        <w:t xml:space="preserve">. </w:t>
      </w:r>
    </w:p>
    <w:p w14:paraId="15B86B47" w14:textId="5EF84328" w:rsidR="001131C0" w:rsidRDefault="001131C0" w:rsidP="00CA1590">
      <w:pPr>
        <w:bidi/>
        <w:spacing w:after="0" w:line="240" w:lineRule="auto"/>
        <w:ind w:left="284"/>
        <w:jc w:val="both"/>
        <w:rPr>
          <w:rFonts w:ascii="Arial" w:hAnsi="Arial" w:cs="Arial"/>
          <w:rtl/>
        </w:rPr>
      </w:pPr>
      <w:r w:rsidRPr="001131C0">
        <w:rPr>
          <w:rFonts w:ascii="Arial" w:hAnsi="Arial" w:cs="Arial"/>
          <w:rtl/>
        </w:rPr>
        <w:t>ويتم الإدماج طبقا لبيانات الجدول التالي</w:t>
      </w:r>
      <w:r w:rsidRPr="001131C0">
        <w:rPr>
          <w:rFonts w:ascii="Arial" w:hAnsi="Arial" w:cs="Arial"/>
        </w:rPr>
        <w:t xml:space="preserve"> :</w:t>
      </w:r>
    </w:p>
    <w:p w14:paraId="7535307E" w14:textId="77777777" w:rsidR="001131C0" w:rsidRPr="001131C0" w:rsidRDefault="001131C0" w:rsidP="00CA1590">
      <w:pPr>
        <w:bidi/>
        <w:spacing w:after="0" w:line="240" w:lineRule="auto"/>
        <w:ind w:left="284"/>
        <w:jc w:val="both"/>
        <w:rPr>
          <w:rFonts w:ascii="Arial" w:hAnsi="Arial" w:cs="Arial"/>
          <w:rtl/>
        </w:rPr>
      </w:pPr>
    </w:p>
    <w:tbl>
      <w:tblPr>
        <w:tblStyle w:val="Grilledutableau"/>
        <w:bidiVisual/>
        <w:tblW w:w="0" w:type="auto"/>
        <w:tblInd w:w="530" w:type="dxa"/>
        <w:tblLook w:val="04A0" w:firstRow="1" w:lastRow="0" w:firstColumn="1" w:lastColumn="0" w:noHBand="0" w:noVBand="1"/>
      </w:tblPr>
      <w:tblGrid>
        <w:gridCol w:w="4358"/>
        <w:gridCol w:w="4888"/>
      </w:tblGrid>
      <w:tr w:rsidR="001131C0" w:rsidRPr="001131C0" w14:paraId="59FF2120" w14:textId="77777777" w:rsidTr="001131C0">
        <w:tc>
          <w:tcPr>
            <w:tcW w:w="4358" w:type="dxa"/>
            <w:vAlign w:val="center"/>
          </w:tcPr>
          <w:p w14:paraId="79CA8811" w14:textId="77777777" w:rsidR="001131C0" w:rsidRPr="001131C0" w:rsidRDefault="001131C0" w:rsidP="00CA1590">
            <w:pPr>
              <w:bidi/>
              <w:spacing w:after="0" w:line="240" w:lineRule="auto"/>
              <w:ind w:left="284"/>
              <w:jc w:val="both"/>
              <w:rPr>
                <w:rFonts w:ascii="Arial" w:hAnsi="Arial" w:cs="Arial"/>
              </w:rPr>
            </w:pPr>
            <w:r w:rsidRPr="001131C0">
              <w:rPr>
                <w:rFonts w:ascii="Arial" w:hAnsi="Arial" w:cs="Arial"/>
                <w:rtl/>
              </w:rPr>
              <w:t>الرتبة الحالية</w:t>
            </w:r>
          </w:p>
        </w:tc>
        <w:tc>
          <w:tcPr>
            <w:tcW w:w="4888" w:type="dxa"/>
            <w:vAlign w:val="center"/>
          </w:tcPr>
          <w:p w14:paraId="69D2E098" w14:textId="3236E159"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رتبة الإدماج</w:t>
            </w:r>
          </w:p>
        </w:tc>
      </w:tr>
      <w:tr w:rsidR="001131C0" w:rsidRPr="001131C0" w14:paraId="67EF0FAD" w14:textId="77777777" w:rsidTr="001131C0">
        <w:tc>
          <w:tcPr>
            <w:tcW w:w="4358" w:type="dxa"/>
          </w:tcPr>
          <w:p w14:paraId="2BA6B6C5" w14:textId="77777777" w:rsidR="001131C0" w:rsidRPr="001131C0" w:rsidRDefault="001131C0" w:rsidP="00CA1590">
            <w:pPr>
              <w:bidi/>
              <w:spacing w:after="0" w:line="240" w:lineRule="auto"/>
              <w:ind w:left="284"/>
              <w:jc w:val="both"/>
              <w:rPr>
                <w:rFonts w:ascii="Arial" w:hAnsi="Arial" w:cs="Arial"/>
              </w:rPr>
            </w:pPr>
            <w:r w:rsidRPr="001131C0">
              <w:rPr>
                <w:rFonts w:ascii="Arial" w:hAnsi="Arial" w:cs="Arial"/>
                <w:rtl/>
              </w:rPr>
              <w:t>متصرف عام</w:t>
            </w:r>
          </w:p>
        </w:tc>
        <w:tc>
          <w:tcPr>
            <w:tcW w:w="4888" w:type="dxa"/>
            <w:vAlign w:val="center"/>
          </w:tcPr>
          <w:p w14:paraId="35BE7DDB" w14:textId="3B7DAADC"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متصرف عام كتابة محكمة</w:t>
            </w:r>
          </w:p>
        </w:tc>
      </w:tr>
      <w:tr w:rsidR="001131C0" w:rsidRPr="001131C0" w14:paraId="6E1294D1" w14:textId="77777777" w:rsidTr="001131C0">
        <w:tc>
          <w:tcPr>
            <w:tcW w:w="4358" w:type="dxa"/>
          </w:tcPr>
          <w:p w14:paraId="593946DF" w14:textId="77777777" w:rsidR="001131C0" w:rsidRPr="001131C0" w:rsidRDefault="001131C0" w:rsidP="00CA1590">
            <w:pPr>
              <w:bidi/>
              <w:spacing w:after="0" w:line="240" w:lineRule="auto"/>
              <w:ind w:left="284"/>
              <w:jc w:val="both"/>
              <w:rPr>
                <w:rFonts w:ascii="Arial" w:hAnsi="Arial" w:cs="Arial"/>
              </w:rPr>
            </w:pPr>
            <w:r w:rsidRPr="001131C0">
              <w:rPr>
                <w:rFonts w:ascii="Arial" w:hAnsi="Arial" w:cs="Arial"/>
                <w:rtl/>
              </w:rPr>
              <w:t>متصرف رئيس</w:t>
            </w:r>
            <w:r w:rsidRPr="001131C0">
              <w:rPr>
                <w:rFonts w:ascii="Arial" w:hAnsi="Arial" w:cs="Arial" w:hint="cs"/>
                <w:rtl/>
              </w:rPr>
              <w:t xml:space="preserve">           </w:t>
            </w:r>
          </w:p>
        </w:tc>
        <w:tc>
          <w:tcPr>
            <w:tcW w:w="4888" w:type="dxa"/>
            <w:vAlign w:val="center"/>
          </w:tcPr>
          <w:p w14:paraId="0560CFDA" w14:textId="586BD2AA"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متصرف رئيس كتابة محكمة</w:t>
            </w:r>
          </w:p>
        </w:tc>
      </w:tr>
      <w:tr w:rsidR="001131C0" w:rsidRPr="001131C0" w14:paraId="29A19C7A" w14:textId="77777777" w:rsidTr="001131C0">
        <w:tc>
          <w:tcPr>
            <w:tcW w:w="4358" w:type="dxa"/>
          </w:tcPr>
          <w:p w14:paraId="59E3FFB9" w14:textId="77777777" w:rsidR="001131C0" w:rsidRPr="001131C0" w:rsidRDefault="001131C0" w:rsidP="00CA1590">
            <w:pPr>
              <w:bidi/>
              <w:spacing w:after="0" w:line="240" w:lineRule="auto"/>
              <w:ind w:left="284"/>
              <w:jc w:val="both"/>
              <w:rPr>
                <w:rFonts w:ascii="Arial" w:hAnsi="Arial" w:cs="Arial"/>
              </w:rPr>
            </w:pPr>
            <w:r w:rsidRPr="001131C0">
              <w:rPr>
                <w:rFonts w:ascii="Arial" w:hAnsi="Arial" w:cs="Arial"/>
                <w:rtl/>
              </w:rPr>
              <w:t>متصرف مستشار</w:t>
            </w:r>
          </w:p>
        </w:tc>
        <w:tc>
          <w:tcPr>
            <w:tcW w:w="4888" w:type="dxa"/>
            <w:vAlign w:val="center"/>
          </w:tcPr>
          <w:p w14:paraId="1AD64855" w14:textId="5F10915D"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متصرف مستشار كتابة محكمة</w:t>
            </w:r>
          </w:p>
        </w:tc>
      </w:tr>
      <w:tr w:rsidR="001131C0" w:rsidRPr="001131C0" w14:paraId="71C28887" w14:textId="77777777" w:rsidTr="001131C0">
        <w:tc>
          <w:tcPr>
            <w:tcW w:w="4358" w:type="dxa"/>
          </w:tcPr>
          <w:p w14:paraId="37FCC59E" w14:textId="77777777" w:rsidR="001131C0" w:rsidRPr="001131C0" w:rsidRDefault="001131C0" w:rsidP="00CA1590">
            <w:pPr>
              <w:bidi/>
              <w:spacing w:after="0" w:line="240" w:lineRule="auto"/>
              <w:ind w:left="284"/>
              <w:jc w:val="both"/>
              <w:rPr>
                <w:rFonts w:ascii="Arial" w:hAnsi="Arial" w:cs="Arial"/>
              </w:rPr>
            </w:pPr>
            <w:r w:rsidRPr="001131C0">
              <w:rPr>
                <w:rFonts w:ascii="Arial" w:hAnsi="Arial" w:cs="Arial"/>
                <w:rtl/>
              </w:rPr>
              <w:t>متصرف</w:t>
            </w:r>
          </w:p>
        </w:tc>
        <w:tc>
          <w:tcPr>
            <w:tcW w:w="4888" w:type="dxa"/>
            <w:vAlign w:val="center"/>
          </w:tcPr>
          <w:p w14:paraId="77361B4E" w14:textId="19A575A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متصرف كتابة محكمة</w:t>
            </w:r>
          </w:p>
        </w:tc>
      </w:tr>
      <w:tr w:rsidR="001131C0" w:rsidRPr="001131C0" w14:paraId="136A6B64" w14:textId="77777777" w:rsidTr="001131C0">
        <w:tc>
          <w:tcPr>
            <w:tcW w:w="4358" w:type="dxa"/>
          </w:tcPr>
          <w:p w14:paraId="4EFC935C" w14:textId="77777777" w:rsidR="001131C0" w:rsidRPr="001131C0" w:rsidRDefault="001131C0" w:rsidP="00CA1590">
            <w:pPr>
              <w:bidi/>
              <w:spacing w:after="0" w:line="240" w:lineRule="auto"/>
              <w:ind w:left="284"/>
              <w:jc w:val="both"/>
              <w:rPr>
                <w:rFonts w:ascii="Arial" w:hAnsi="Arial" w:cs="Arial"/>
              </w:rPr>
            </w:pPr>
            <w:r w:rsidRPr="001131C0">
              <w:rPr>
                <w:rFonts w:ascii="Arial" w:hAnsi="Arial" w:cs="Arial"/>
                <w:rtl/>
              </w:rPr>
              <w:t>ملحق إدارة</w:t>
            </w:r>
          </w:p>
        </w:tc>
        <w:tc>
          <w:tcPr>
            <w:tcW w:w="4888" w:type="dxa"/>
            <w:vAlign w:val="center"/>
          </w:tcPr>
          <w:p w14:paraId="4AAE150D" w14:textId="7B9F4B7A"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كاتب محكمة أول</w:t>
            </w:r>
          </w:p>
        </w:tc>
      </w:tr>
      <w:tr w:rsidR="001131C0" w:rsidRPr="001131C0" w14:paraId="0AE4C989" w14:textId="77777777" w:rsidTr="001131C0">
        <w:tc>
          <w:tcPr>
            <w:tcW w:w="4358" w:type="dxa"/>
          </w:tcPr>
          <w:p w14:paraId="74A6A2BB" w14:textId="77777777" w:rsidR="001131C0" w:rsidRPr="001131C0" w:rsidRDefault="001131C0" w:rsidP="00CA1590">
            <w:pPr>
              <w:bidi/>
              <w:spacing w:after="0" w:line="240" w:lineRule="auto"/>
              <w:ind w:left="284"/>
              <w:jc w:val="both"/>
              <w:rPr>
                <w:rFonts w:ascii="Arial" w:hAnsi="Arial" w:cs="Arial"/>
              </w:rPr>
            </w:pPr>
            <w:r w:rsidRPr="001131C0">
              <w:rPr>
                <w:rFonts w:ascii="Arial" w:hAnsi="Arial" w:cs="Arial"/>
                <w:rtl/>
              </w:rPr>
              <w:t>كاتب تصرف أو كاتب راقن</w:t>
            </w:r>
          </w:p>
        </w:tc>
        <w:tc>
          <w:tcPr>
            <w:tcW w:w="4888" w:type="dxa"/>
            <w:vAlign w:val="center"/>
          </w:tcPr>
          <w:p w14:paraId="37BDE41C" w14:textId="291F6FEC"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كاتب محكمة</w:t>
            </w:r>
          </w:p>
        </w:tc>
      </w:tr>
      <w:tr w:rsidR="001131C0" w:rsidRPr="001131C0" w14:paraId="44B2F6D4" w14:textId="77777777" w:rsidTr="001131C0">
        <w:tc>
          <w:tcPr>
            <w:tcW w:w="4358" w:type="dxa"/>
          </w:tcPr>
          <w:p w14:paraId="06144B90" w14:textId="77777777" w:rsidR="001131C0" w:rsidRPr="001131C0" w:rsidRDefault="001131C0" w:rsidP="00CA1590">
            <w:pPr>
              <w:bidi/>
              <w:spacing w:after="0" w:line="240" w:lineRule="auto"/>
              <w:ind w:left="284"/>
              <w:jc w:val="both"/>
              <w:rPr>
                <w:rFonts w:ascii="Arial" w:hAnsi="Arial" w:cs="Arial"/>
              </w:rPr>
            </w:pPr>
            <w:r w:rsidRPr="001131C0">
              <w:rPr>
                <w:rFonts w:ascii="Arial" w:hAnsi="Arial" w:cs="Arial"/>
                <w:rtl/>
              </w:rPr>
              <w:t>مستكتب إدارة أو راقن</w:t>
            </w:r>
          </w:p>
        </w:tc>
        <w:tc>
          <w:tcPr>
            <w:tcW w:w="4888" w:type="dxa"/>
            <w:vAlign w:val="center"/>
          </w:tcPr>
          <w:p w14:paraId="53A38F08" w14:textId="36157A1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كاتب محكمة مساعد</w:t>
            </w:r>
          </w:p>
        </w:tc>
      </w:tr>
      <w:tr w:rsidR="001131C0" w:rsidRPr="001131C0" w14:paraId="3B6D2A34" w14:textId="77777777" w:rsidTr="001131C0">
        <w:tc>
          <w:tcPr>
            <w:tcW w:w="4358" w:type="dxa"/>
          </w:tcPr>
          <w:p w14:paraId="20B40373" w14:textId="77777777" w:rsidR="001131C0" w:rsidRPr="001131C0" w:rsidRDefault="001131C0" w:rsidP="00CA1590">
            <w:pPr>
              <w:bidi/>
              <w:spacing w:after="0" w:line="240" w:lineRule="auto"/>
              <w:ind w:left="284"/>
              <w:jc w:val="both"/>
              <w:rPr>
                <w:rFonts w:ascii="Arial" w:hAnsi="Arial" w:cs="Arial"/>
              </w:rPr>
            </w:pPr>
            <w:r w:rsidRPr="001131C0">
              <w:rPr>
                <w:rFonts w:ascii="Arial" w:hAnsi="Arial" w:cs="Arial"/>
                <w:rtl/>
              </w:rPr>
              <w:t>راقن مساعد أو عون استقبال</w:t>
            </w:r>
          </w:p>
        </w:tc>
        <w:tc>
          <w:tcPr>
            <w:tcW w:w="4888" w:type="dxa"/>
            <w:vAlign w:val="center"/>
          </w:tcPr>
          <w:p w14:paraId="34F523DA" w14:textId="70F99786"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عون محكمة</w:t>
            </w:r>
          </w:p>
        </w:tc>
      </w:tr>
    </w:tbl>
    <w:p w14:paraId="5D0EF411" w14:textId="77777777" w:rsidR="001131C0" w:rsidRDefault="001131C0" w:rsidP="00CA1590">
      <w:pPr>
        <w:bidi/>
        <w:spacing w:after="0" w:line="240" w:lineRule="auto"/>
        <w:ind w:left="284"/>
        <w:jc w:val="both"/>
        <w:rPr>
          <w:rFonts w:ascii="Arial" w:hAnsi="Arial" w:cs="Arial"/>
          <w:rtl/>
        </w:rPr>
      </w:pPr>
    </w:p>
    <w:p w14:paraId="7A0C1634" w14:textId="77777777" w:rsidR="001131C0" w:rsidRDefault="001131C0" w:rsidP="00CA1590">
      <w:pPr>
        <w:pStyle w:val="Paragraphedeliste"/>
        <w:numPr>
          <w:ilvl w:val="0"/>
          <w:numId w:val="25"/>
        </w:numPr>
        <w:bidi/>
        <w:spacing w:after="0" w:line="240" w:lineRule="auto"/>
        <w:ind w:left="927"/>
        <w:jc w:val="both"/>
        <w:rPr>
          <w:rFonts w:ascii="Arial" w:hAnsi="Arial" w:cs="Arial"/>
        </w:rPr>
      </w:pPr>
      <w:r w:rsidRPr="001131C0">
        <w:rPr>
          <w:rFonts w:ascii="Arial" w:hAnsi="Arial" w:cs="Arial"/>
          <w:rtl/>
        </w:rPr>
        <w:t xml:space="preserve"> يدمج العملة المباشرين للمهام الموكولة لسلك كتابة المحكمة الإدارية وبطلب منهم وفي أجل أقصاه ستة أشهر من تاريخ دخول هذا الأمر حيز النفاذ بإحدى رتب سلك كتابة المحكمة الإدارية وفقا للشروط المنصوص عليها بالأمر عدد 1216 لسنة 1985 المؤرخ في 5 أكتوبر 1985 المتعلق بضبط شروط إدماج العملة ضمن إطارات الموظفين</w:t>
      </w:r>
      <w:r w:rsidRPr="001131C0">
        <w:rPr>
          <w:rFonts w:ascii="Arial" w:hAnsi="Arial" w:cs="Arial"/>
        </w:rPr>
        <w:t>.</w:t>
      </w:r>
    </w:p>
    <w:p w14:paraId="2E735263" w14:textId="77777777" w:rsidR="001131C0" w:rsidRDefault="001131C0" w:rsidP="00CA1590">
      <w:pPr>
        <w:pStyle w:val="Paragraphedeliste"/>
        <w:bidi/>
        <w:spacing w:after="0" w:line="240" w:lineRule="auto"/>
        <w:ind w:left="567"/>
        <w:jc w:val="both"/>
        <w:rPr>
          <w:rFonts w:ascii="Arial" w:hAnsi="Arial" w:cs="Arial"/>
        </w:rPr>
      </w:pPr>
    </w:p>
    <w:p w14:paraId="6BDA5E8F" w14:textId="3CBCB4DD" w:rsidR="001131C0" w:rsidRPr="001131C0" w:rsidRDefault="001131C0" w:rsidP="00CA1590">
      <w:pPr>
        <w:pStyle w:val="Paragraphedeliste"/>
        <w:numPr>
          <w:ilvl w:val="0"/>
          <w:numId w:val="25"/>
        </w:numPr>
        <w:bidi/>
        <w:spacing w:after="0" w:line="240" w:lineRule="auto"/>
        <w:ind w:left="927"/>
        <w:jc w:val="both"/>
        <w:rPr>
          <w:rFonts w:ascii="Arial" w:hAnsi="Arial" w:cs="Arial"/>
          <w:rtl/>
        </w:rPr>
      </w:pPr>
      <w:r w:rsidRPr="001131C0">
        <w:rPr>
          <w:rFonts w:ascii="Arial" w:hAnsi="Arial" w:cs="Arial"/>
          <w:rtl/>
        </w:rPr>
        <w:t>يحتفظ الأعوان المدمجون في رتب سلك أعوان كتابة المحكمة الإدارية بالأقدمية المكتسبة في رتبهم الأصلية وتتم إعادة ترتيبهم بنفس الدرجة ومستوى التأجير وتعتبر الأقدمية المكتسبة في رتبهم الأصلية أقدمية في رتب الإدماج</w:t>
      </w:r>
      <w:r w:rsidRPr="001131C0">
        <w:rPr>
          <w:rFonts w:ascii="Arial" w:hAnsi="Arial" w:cs="Arial"/>
        </w:rPr>
        <w:t>.</w:t>
      </w:r>
    </w:p>
    <w:p w14:paraId="192C5A1D" w14:textId="77777777" w:rsidR="001131C0" w:rsidRDefault="001131C0" w:rsidP="00CA1590">
      <w:pPr>
        <w:bidi/>
        <w:spacing w:after="0" w:line="240" w:lineRule="auto"/>
        <w:ind w:left="284"/>
        <w:jc w:val="both"/>
        <w:rPr>
          <w:rFonts w:ascii="Arial" w:hAnsi="Arial" w:cs="Arial"/>
          <w:rtl/>
        </w:rPr>
      </w:pPr>
    </w:p>
    <w:p w14:paraId="1974FCEB" w14:textId="77777777" w:rsidR="001131C0" w:rsidRPr="001131C0" w:rsidRDefault="001131C0" w:rsidP="00CA1590">
      <w:pPr>
        <w:bidi/>
        <w:spacing w:after="0" w:line="240" w:lineRule="auto"/>
        <w:ind w:left="284"/>
        <w:jc w:val="both"/>
        <w:rPr>
          <w:rFonts w:ascii="Arial" w:hAnsi="Arial" w:cs="Arial"/>
          <w:rtl/>
        </w:rPr>
      </w:pPr>
      <w:r w:rsidRPr="001131C0">
        <w:rPr>
          <w:rFonts w:ascii="Arial" w:hAnsi="Arial" w:cs="Arial"/>
          <w:rtl/>
        </w:rPr>
        <w:t>وتنظر في مطالب الإدماج وفي إعادة ترتيب الأعوان المدمجين لجنة تضبط تركيبتها بقرار من الرئيس الأول للمحكمة الإدارية</w:t>
      </w:r>
      <w:r w:rsidRPr="001131C0">
        <w:rPr>
          <w:rFonts w:ascii="Arial" w:hAnsi="Arial" w:cs="Arial"/>
        </w:rPr>
        <w:t>.</w:t>
      </w:r>
    </w:p>
    <w:p w14:paraId="38178F0D" w14:textId="77777777" w:rsidR="001131C0" w:rsidRPr="001131C0" w:rsidRDefault="001131C0" w:rsidP="00CA1590">
      <w:pPr>
        <w:bidi/>
        <w:spacing w:after="0" w:line="240" w:lineRule="auto"/>
        <w:ind w:left="284"/>
        <w:jc w:val="both"/>
        <w:rPr>
          <w:rFonts w:ascii="Arial" w:hAnsi="Arial" w:cs="Arial"/>
          <w:rtl/>
        </w:rPr>
      </w:pPr>
    </w:p>
    <w:p w14:paraId="3EBDACF0" w14:textId="6602F9C1" w:rsidR="001131C0" w:rsidRDefault="001131C0" w:rsidP="00CA1590">
      <w:pPr>
        <w:bidi/>
        <w:spacing w:after="0" w:line="240" w:lineRule="auto"/>
        <w:ind w:left="284"/>
        <w:jc w:val="both"/>
        <w:rPr>
          <w:rFonts w:ascii="Arial" w:hAnsi="Arial" w:cs="Arial"/>
          <w:rtl/>
        </w:rPr>
      </w:pPr>
      <w:r w:rsidRPr="001131C0">
        <w:rPr>
          <w:rFonts w:ascii="Arial" w:hAnsi="Arial" w:cs="Arial"/>
          <w:b/>
          <w:bCs/>
          <w:rtl/>
        </w:rPr>
        <w:t xml:space="preserve">الفصل </w:t>
      </w:r>
      <w:r w:rsidRPr="001131C0">
        <w:rPr>
          <w:rFonts w:ascii="Arial" w:hAnsi="Arial" w:cs="Arial" w:hint="cs"/>
          <w:b/>
          <w:bCs/>
          <w:rtl/>
        </w:rPr>
        <w:t xml:space="preserve">2 </w:t>
      </w:r>
      <w:r w:rsidRPr="001131C0">
        <w:rPr>
          <w:rFonts w:ascii="Arial" w:hAnsi="Arial" w:cs="Arial"/>
          <w:b/>
          <w:bCs/>
          <w:rtl/>
        </w:rPr>
        <w:t>–</w:t>
      </w:r>
      <w:r w:rsidRPr="001131C0">
        <w:rPr>
          <w:rFonts w:ascii="Arial" w:hAnsi="Arial" w:cs="Arial"/>
          <w:rtl/>
        </w:rPr>
        <w:t xml:space="preserve"> تضاف إلى الفصل الأول من الأمر عدد 2376 لسنة 2004 المؤرخ في 14 أكتوبر 2004 المشار إليه أعلاه الفقرة </w:t>
      </w:r>
      <w:r>
        <w:rPr>
          <w:rFonts w:ascii="Arial" w:hAnsi="Arial" w:cs="Arial"/>
          <w:rtl/>
        </w:rPr>
        <w:t>التالي</w:t>
      </w:r>
      <w:r>
        <w:rPr>
          <w:rFonts w:ascii="Arial" w:hAnsi="Arial" w:cs="Arial" w:hint="cs"/>
          <w:rtl/>
        </w:rPr>
        <w:t>ة:</w:t>
      </w:r>
      <w:r w:rsidRPr="001131C0">
        <w:rPr>
          <w:rFonts w:ascii="Arial" w:hAnsi="Arial" w:cs="Arial"/>
          <w:rtl/>
        </w:rPr>
        <w:t xml:space="preserve"> </w:t>
      </w:r>
    </w:p>
    <w:p w14:paraId="1B345255" w14:textId="77777777" w:rsidR="001131C0" w:rsidRPr="001131C0" w:rsidRDefault="001131C0" w:rsidP="00CA1590">
      <w:pPr>
        <w:bidi/>
        <w:spacing w:after="0" w:line="240" w:lineRule="auto"/>
        <w:ind w:left="284"/>
        <w:jc w:val="both"/>
        <w:rPr>
          <w:rFonts w:ascii="Arial" w:hAnsi="Arial" w:cs="Arial"/>
          <w:rtl/>
        </w:rPr>
      </w:pPr>
    </w:p>
    <w:p w14:paraId="0DA04756" w14:textId="73E89621" w:rsidR="001131C0" w:rsidRPr="001131C0" w:rsidRDefault="001131C0" w:rsidP="00CA1590">
      <w:pPr>
        <w:bidi/>
        <w:spacing w:after="0" w:line="240" w:lineRule="auto"/>
        <w:ind w:left="284"/>
        <w:jc w:val="both"/>
        <w:rPr>
          <w:rFonts w:ascii="Arial" w:hAnsi="Arial" w:cs="Arial"/>
          <w:rtl/>
        </w:rPr>
      </w:pPr>
      <w:r w:rsidRPr="001131C0">
        <w:rPr>
          <w:rFonts w:ascii="Arial" w:hAnsi="Arial" w:cs="Arial"/>
          <w:b/>
          <w:bCs/>
          <w:rtl/>
        </w:rPr>
        <w:t>الفصل الأول فقرة 2 (جديدة)</w:t>
      </w:r>
      <w:r w:rsidRPr="001131C0">
        <w:rPr>
          <w:rFonts w:ascii="Arial" w:hAnsi="Arial" w:cs="Arial" w:hint="cs"/>
          <w:b/>
          <w:bCs/>
          <w:rtl/>
        </w:rPr>
        <w:t xml:space="preserve"> </w:t>
      </w:r>
      <w:r w:rsidRPr="001131C0">
        <w:rPr>
          <w:rFonts w:ascii="Arial" w:hAnsi="Arial" w:cs="Arial"/>
          <w:b/>
          <w:bCs/>
          <w:rtl/>
        </w:rPr>
        <w:t>–</w:t>
      </w:r>
      <w:r>
        <w:rPr>
          <w:rFonts w:ascii="Arial" w:hAnsi="Arial" w:cs="Arial" w:hint="cs"/>
          <w:rtl/>
        </w:rPr>
        <w:t xml:space="preserve"> </w:t>
      </w:r>
      <w:r w:rsidRPr="001131C0">
        <w:rPr>
          <w:rFonts w:ascii="Arial" w:hAnsi="Arial" w:cs="Arial"/>
          <w:rtl/>
        </w:rPr>
        <w:t xml:space="preserve"> يؤدي أعوان سلك كتابة المحكمة الإدارية عملهم أثناء التوقيت الرسمي للعمل وخارجه</w:t>
      </w:r>
      <w:r w:rsidRPr="001131C0">
        <w:rPr>
          <w:rFonts w:ascii="Arial" w:hAnsi="Arial" w:cs="Arial"/>
        </w:rPr>
        <w:t>".</w:t>
      </w:r>
    </w:p>
    <w:p w14:paraId="58DD610B" w14:textId="77777777" w:rsidR="001131C0" w:rsidRPr="001131C0" w:rsidRDefault="001131C0" w:rsidP="00CA1590">
      <w:pPr>
        <w:bidi/>
        <w:spacing w:after="0" w:line="240" w:lineRule="auto"/>
        <w:ind w:left="284"/>
        <w:jc w:val="both"/>
        <w:rPr>
          <w:rFonts w:ascii="Arial" w:hAnsi="Arial" w:cs="Arial"/>
          <w:rtl/>
        </w:rPr>
      </w:pPr>
    </w:p>
    <w:p w14:paraId="3FE0C2AE" w14:textId="5D21CB3F" w:rsidR="001131C0" w:rsidRPr="001131C0" w:rsidRDefault="001131C0" w:rsidP="00CA1590">
      <w:pPr>
        <w:bidi/>
        <w:spacing w:after="0" w:line="240" w:lineRule="auto"/>
        <w:ind w:left="284"/>
        <w:jc w:val="both"/>
        <w:rPr>
          <w:rFonts w:ascii="Arial" w:hAnsi="Arial" w:cs="Arial"/>
          <w:rtl/>
        </w:rPr>
      </w:pPr>
      <w:r w:rsidRPr="001131C0">
        <w:rPr>
          <w:rFonts w:ascii="Arial" w:hAnsi="Arial" w:cs="Arial"/>
          <w:b/>
          <w:bCs/>
          <w:rtl/>
        </w:rPr>
        <w:t>الفصل 3</w:t>
      </w:r>
      <w:r w:rsidRPr="001131C0">
        <w:rPr>
          <w:rFonts w:ascii="Arial" w:hAnsi="Arial" w:cs="Arial" w:hint="cs"/>
          <w:b/>
          <w:bCs/>
          <w:rtl/>
        </w:rPr>
        <w:t xml:space="preserve"> </w:t>
      </w:r>
      <w:r w:rsidRPr="001131C0">
        <w:rPr>
          <w:rFonts w:ascii="Arial" w:hAnsi="Arial" w:cs="Arial"/>
          <w:b/>
          <w:bCs/>
          <w:rtl/>
        </w:rPr>
        <w:t>–</w:t>
      </w:r>
      <w:r>
        <w:rPr>
          <w:rFonts w:ascii="Arial" w:hAnsi="Arial" w:cs="Arial" w:hint="cs"/>
          <w:rtl/>
        </w:rPr>
        <w:t xml:space="preserve"> </w:t>
      </w:r>
      <w:r w:rsidRPr="001131C0">
        <w:rPr>
          <w:rFonts w:ascii="Arial" w:hAnsi="Arial" w:cs="Arial"/>
          <w:rtl/>
        </w:rPr>
        <w:t xml:space="preserve"> وزير الاقتصاد والمالية مكلف بتنفيذ هذا الأمر الذي ينشر بالرائد الرسمي للجمهورية التونسية</w:t>
      </w:r>
      <w:r w:rsidRPr="001131C0">
        <w:rPr>
          <w:rFonts w:ascii="Arial" w:hAnsi="Arial" w:cs="Arial"/>
        </w:rPr>
        <w:t>.</w:t>
      </w:r>
    </w:p>
    <w:p w14:paraId="2C996554" w14:textId="77777777" w:rsidR="001131C0" w:rsidRPr="001131C0" w:rsidRDefault="001131C0" w:rsidP="00CA1590">
      <w:pPr>
        <w:bidi/>
        <w:spacing w:after="0" w:line="240" w:lineRule="auto"/>
        <w:ind w:left="284"/>
        <w:jc w:val="both"/>
        <w:rPr>
          <w:rFonts w:ascii="Arial" w:hAnsi="Arial" w:cs="Arial"/>
          <w:rtl/>
        </w:rPr>
      </w:pPr>
    </w:p>
    <w:p w14:paraId="50555AF1" w14:textId="6B57788B" w:rsidR="0067052B" w:rsidRPr="001131C0" w:rsidRDefault="001131C0" w:rsidP="00CA1590">
      <w:pPr>
        <w:bidi/>
        <w:spacing w:after="0" w:line="240" w:lineRule="auto"/>
        <w:ind w:left="284"/>
        <w:jc w:val="both"/>
        <w:rPr>
          <w:rFonts w:ascii="Arial" w:hAnsi="Arial" w:cs="Arial"/>
          <w:b/>
          <w:bCs/>
        </w:rPr>
      </w:pPr>
      <w:r w:rsidRPr="001131C0">
        <w:rPr>
          <w:rFonts w:ascii="Arial" w:hAnsi="Arial" w:cs="Arial"/>
          <w:b/>
          <w:bCs/>
          <w:rtl/>
        </w:rPr>
        <w:t xml:space="preserve">تونس في 2 </w:t>
      </w:r>
      <w:bookmarkStart w:id="0" w:name="_GoBack"/>
      <w:bookmarkEnd w:id="0"/>
      <w:r w:rsidRPr="001131C0">
        <w:rPr>
          <w:rFonts w:ascii="Arial" w:hAnsi="Arial" w:cs="Arial"/>
          <w:b/>
          <w:bCs/>
          <w:rtl/>
        </w:rPr>
        <w:t>جانفي 2015</w:t>
      </w:r>
      <w:r w:rsidRPr="001131C0">
        <w:rPr>
          <w:rFonts w:ascii="Arial" w:hAnsi="Arial" w:cs="Arial"/>
          <w:b/>
          <w:bCs/>
        </w:rPr>
        <w:t>.</w:t>
      </w:r>
    </w:p>
    <w:sectPr w:rsidR="0067052B" w:rsidRPr="001131C0" w:rsidSect="002570CB">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0C4A" w14:textId="77777777" w:rsidR="001E5BDF" w:rsidRDefault="001E5BDF" w:rsidP="008F3F2D">
      <w:r>
        <w:separator/>
      </w:r>
    </w:p>
  </w:endnote>
  <w:endnote w:type="continuationSeparator" w:id="0">
    <w:p w14:paraId="57F11347" w14:textId="77777777" w:rsidR="001E5BDF" w:rsidRDefault="001E5BD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B351A0" w:rsidRPr="00C64B86" w:rsidRDefault="00B351A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B351A0" w:rsidRPr="00A00644" w:rsidRDefault="00B351A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159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1590">
                            <w:rPr>
                              <w:rFonts w:ascii="Arial" w:hAnsi="Arial" w:cs="Arial"/>
                              <w:noProof/>
                              <w:sz w:val="18"/>
                              <w:szCs w:val="18"/>
                            </w:rPr>
                            <w:t>2</w:t>
                          </w:r>
                          <w:r w:rsidRPr="001E5DD5">
                            <w:rPr>
                              <w:rFonts w:ascii="Arial" w:hAnsi="Arial" w:cs="Arial"/>
                              <w:noProof/>
                              <w:sz w:val="18"/>
                              <w:szCs w:val="18"/>
                            </w:rPr>
                            <w:fldChar w:fldCharType="end"/>
                          </w:r>
                        </w:p>
                        <w:p w14:paraId="75F5800F" w14:textId="77777777" w:rsidR="00B351A0" w:rsidRDefault="00B351A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B351A0" w:rsidRPr="00A00644" w:rsidRDefault="00B351A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159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1590">
                      <w:rPr>
                        <w:rFonts w:ascii="Arial" w:hAnsi="Arial" w:cs="Arial"/>
                        <w:noProof/>
                        <w:sz w:val="18"/>
                        <w:szCs w:val="18"/>
                      </w:rPr>
                      <w:t>2</w:t>
                    </w:r>
                    <w:r w:rsidRPr="001E5DD5">
                      <w:rPr>
                        <w:rFonts w:ascii="Arial" w:hAnsi="Arial" w:cs="Arial"/>
                        <w:noProof/>
                        <w:sz w:val="18"/>
                        <w:szCs w:val="18"/>
                      </w:rPr>
                      <w:fldChar w:fldCharType="end"/>
                    </w:r>
                  </w:p>
                  <w:p w14:paraId="75F5800F" w14:textId="77777777" w:rsidR="00B351A0" w:rsidRDefault="00B351A0"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B351A0" w:rsidRDefault="00B351A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B351A0" w:rsidRPr="00A00644" w:rsidRDefault="00B351A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5BD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5BD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B351A0" w:rsidRPr="00A00644" w:rsidRDefault="00B351A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5BD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5BD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D983" w14:textId="77777777" w:rsidR="001E5BDF" w:rsidRDefault="001E5BDF" w:rsidP="00696990">
      <w:pPr>
        <w:bidi/>
        <w:jc w:val="both"/>
      </w:pPr>
      <w:r>
        <w:separator/>
      </w:r>
    </w:p>
  </w:footnote>
  <w:footnote w:type="continuationSeparator" w:id="0">
    <w:p w14:paraId="166F12F9" w14:textId="77777777" w:rsidR="001E5BDF" w:rsidRDefault="001E5BD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B351A0" w:rsidRDefault="00B351A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B351A0" w:rsidRDefault="00B351A0" w:rsidP="0097472C">
                          <w:pPr>
                            <w:spacing w:after="0" w:line="240" w:lineRule="auto"/>
                            <w:ind w:left="567"/>
                            <w:rPr>
                              <w:rFonts w:ascii="Arial" w:eastAsia="Times New Roman" w:hAnsi="Arial" w:cs="Times New Roman"/>
                              <w:sz w:val="24"/>
                              <w:szCs w:val="24"/>
                            </w:rPr>
                          </w:pPr>
                        </w:p>
                        <w:p w14:paraId="62BF567A" w14:textId="77777777" w:rsidR="00B351A0" w:rsidRPr="005F7BF4" w:rsidRDefault="00B351A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B351A0" w:rsidRPr="005F7BF4" w:rsidRDefault="00B351A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B351A0" w:rsidRDefault="00B351A0" w:rsidP="0097472C">
                    <w:pPr>
                      <w:spacing w:after="0" w:line="240" w:lineRule="auto"/>
                      <w:ind w:left="567"/>
                      <w:rPr>
                        <w:rFonts w:ascii="Arial" w:eastAsia="Times New Roman" w:hAnsi="Arial" w:cs="Times New Roman"/>
                        <w:sz w:val="24"/>
                        <w:szCs w:val="24"/>
                      </w:rPr>
                    </w:pPr>
                  </w:p>
                  <w:p w14:paraId="62BF567A" w14:textId="77777777" w:rsidR="00B351A0" w:rsidRPr="005F7BF4" w:rsidRDefault="00B351A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B351A0" w:rsidRPr="005F7BF4" w:rsidRDefault="00B351A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B351A0" w:rsidRDefault="00B351A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B351A0" w:rsidRDefault="00B351A0" w:rsidP="0075404E">
                          <w:pPr>
                            <w:spacing w:after="0" w:line="20" w:lineRule="atLeast"/>
                            <w:ind w:left="567"/>
                            <w:rPr>
                              <w:rFonts w:ascii="Arial" w:eastAsia="Times New Roman" w:hAnsi="Arial" w:cs="Arial"/>
                              <w:sz w:val="24"/>
                              <w:szCs w:val="20"/>
                              <w:lang w:eastAsia="en-US"/>
                            </w:rPr>
                          </w:pPr>
                        </w:p>
                        <w:p w14:paraId="769732F9" w14:textId="77777777" w:rsidR="00B351A0" w:rsidRPr="00696C4B" w:rsidRDefault="00B351A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351A0" w:rsidRPr="00317C84" w:rsidRDefault="00B351A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351A0" w:rsidRDefault="00B351A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B351A0" w:rsidRDefault="00B351A0" w:rsidP="0075404E">
                    <w:pPr>
                      <w:spacing w:after="0" w:line="20" w:lineRule="atLeast"/>
                      <w:ind w:left="567"/>
                      <w:rPr>
                        <w:rFonts w:ascii="Arial" w:eastAsia="Times New Roman" w:hAnsi="Arial" w:cs="Arial"/>
                        <w:sz w:val="24"/>
                        <w:szCs w:val="20"/>
                        <w:lang w:eastAsia="en-US"/>
                      </w:rPr>
                    </w:pPr>
                  </w:p>
                  <w:p w14:paraId="769732F9" w14:textId="77777777" w:rsidR="00B351A0" w:rsidRPr="00696C4B" w:rsidRDefault="00B351A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351A0" w:rsidRPr="00317C84" w:rsidRDefault="00B351A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351A0" w:rsidRDefault="00B351A0"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351"/>
    <w:multiLevelType w:val="hybridMultilevel"/>
    <w:tmpl w:val="97BC6EB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6081740"/>
    <w:multiLevelType w:val="hybridMultilevel"/>
    <w:tmpl w:val="398613F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8B835A1"/>
    <w:multiLevelType w:val="hybridMultilevel"/>
    <w:tmpl w:val="47DC442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DA925EA"/>
    <w:multiLevelType w:val="hybridMultilevel"/>
    <w:tmpl w:val="31CCCE2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48F4861"/>
    <w:multiLevelType w:val="hybridMultilevel"/>
    <w:tmpl w:val="D72C5E3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1D752E"/>
    <w:multiLevelType w:val="hybridMultilevel"/>
    <w:tmpl w:val="7B4E063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FF87676"/>
    <w:multiLevelType w:val="hybridMultilevel"/>
    <w:tmpl w:val="DEAE71B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174BCB"/>
    <w:multiLevelType w:val="hybridMultilevel"/>
    <w:tmpl w:val="BE6A7E8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35925CB6"/>
    <w:multiLevelType w:val="hybridMultilevel"/>
    <w:tmpl w:val="FED03AF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37840A71"/>
    <w:multiLevelType w:val="hybridMultilevel"/>
    <w:tmpl w:val="77987A3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37882054"/>
    <w:multiLevelType w:val="hybridMultilevel"/>
    <w:tmpl w:val="4912B31E"/>
    <w:lvl w:ilvl="0" w:tplc="D8DC3080">
      <w:numFmt w:val="bullet"/>
      <w:lvlText w:val="̶"/>
      <w:lvlJc w:val="left"/>
      <w:pPr>
        <w:ind w:left="720" w:hanging="360"/>
      </w:pPr>
      <w:rPr>
        <w:rFonts w:ascii="Arial" w:eastAsiaTheme="minorEastAsia" w:hAnsi="Arial" w:hint="default"/>
      </w:rPr>
    </w:lvl>
    <w:lvl w:ilvl="1" w:tplc="2154EAFA">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785790"/>
    <w:multiLevelType w:val="hybridMultilevel"/>
    <w:tmpl w:val="D200DA9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47FE172B"/>
    <w:multiLevelType w:val="hybridMultilevel"/>
    <w:tmpl w:val="E022F6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95574BD"/>
    <w:multiLevelType w:val="hybridMultilevel"/>
    <w:tmpl w:val="0FC682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4CA21622"/>
    <w:multiLevelType w:val="hybridMultilevel"/>
    <w:tmpl w:val="77F8D7A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51D2325F"/>
    <w:multiLevelType w:val="hybridMultilevel"/>
    <w:tmpl w:val="382682C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568205C4"/>
    <w:multiLevelType w:val="hybridMultilevel"/>
    <w:tmpl w:val="A0C8A4D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545610"/>
    <w:multiLevelType w:val="hybridMultilevel"/>
    <w:tmpl w:val="C56C6E3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5DF82C94"/>
    <w:multiLevelType w:val="hybridMultilevel"/>
    <w:tmpl w:val="CC04396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5F2F6B16"/>
    <w:multiLevelType w:val="hybridMultilevel"/>
    <w:tmpl w:val="06B4763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D40DF3"/>
    <w:multiLevelType w:val="hybridMultilevel"/>
    <w:tmpl w:val="1C043752"/>
    <w:lvl w:ilvl="0" w:tplc="B93CAB2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D80C9B"/>
    <w:multiLevelType w:val="hybridMultilevel"/>
    <w:tmpl w:val="A9BC1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E503E6"/>
    <w:multiLevelType w:val="hybridMultilevel"/>
    <w:tmpl w:val="6A967F66"/>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76C36921"/>
    <w:multiLevelType w:val="hybridMultilevel"/>
    <w:tmpl w:val="3C8E97EC"/>
    <w:lvl w:ilvl="0" w:tplc="660A17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DC41511"/>
    <w:multiLevelType w:val="hybridMultilevel"/>
    <w:tmpl w:val="AC72419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2"/>
  </w:num>
  <w:num w:numId="2">
    <w:abstractNumId w:val="0"/>
  </w:num>
  <w:num w:numId="3">
    <w:abstractNumId w:val="16"/>
  </w:num>
  <w:num w:numId="4">
    <w:abstractNumId w:val="3"/>
  </w:num>
  <w:num w:numId="5">
    <w:abstractNumId w:val="14"/>
  </w:num>
  <w:num w:numId="6">
    <w:abstractNumId w:val="11"/>
  </w:num>
  <w:num w:numId="7">
    <w:abstractNumId w:val="24"/>
  </w:num>
  <w:num w:numId="8">
    <w:abstractNumId w:val="6"/>
  </w:num>
  <w:num w:numId="9">
    <w:abstractNumId w:val="15"/>
  </w:num>
  <w:num w:numId="10">
    <w:abstractNumId w:val="2"/>
  </w:num>
  <w:num w:numId="11">
    <w:abstractNumId w:val="9"/>
  </w:num>
  <w:num w:numId="12">
    <w:abstractNumId w:val="7"/>
  </w:num>
  <w:num w:numId="13">
    <w:abstractNumId w:val="22"/>
  </w:num>
  <w:num w:numId="14">
    <w:abstractNumId w:val="1"/>
  </w:num>
  <w:num w:numId="15">
    <w:abstractNumId w:val="5"/>
  </w:num>
  <w:num w:numId="16">
    <w:abstractNumId w:val="19"/>
  </w:num>
  <w:num w:numId="17">
    <w:abstractNumId w:val="4"/>
  </w:num>
  <w:num w:numId="18">
    <w:abstractNumId w:val="13"/>
  </w:num>
  <w:num w:numId="19">
    <w:abstractNumId w:val="17"/>
  </w:num>
  <w:num w:numId="20">
    <w:abstractNumId w:val="8"/>
  </w:num>
  <w:num w:numId="21">
    <w:abstractNumId w:val="18"/>
  </w:num>
  <w:num w:numId="22">
    <w:abstractNumId w:val="21"/>
  </w:num>
  <w:num w:numId="23">
    <w:abstractNumId w:val="20"/>
  </w:num>
  <w:num w:numId="24">
    <w:abstractNumId w:val="10"/>
  </w:num>
  <w:num w:numId="2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C8"/>
    <w:rsid w:val="00015ED0"/>
    <w:rsid w:val="00016537"/>
    <w:rsid w:val="00031A0A"/>
    <w:rsid w:val="00053C64"/>
    <w:rsid w:val="0008460D"/>
    <w:rsid w:val="000B0D20"/>
    <w:rsid w:val="000C09D7"/>
    <w:rsid w:val="000D545F"/>
    <w:rsid w:val="000D7841"/>
    <w:rsid w:val="000E0331"/>
    <w:rsid w:val="00100693"/>
    <w:rsid w:val="00100F26"/>
    <w:rsid w:val="00104DAC"/>
    <w:rsid w:val="001131C0"/>
    <w:rsid w:val="001235D2"/>
    <w:rsid w:val="001605D8"/>
    <w:rsid w:val="001615C6"/>
    <w:rsid w:val="0016579E"/>
    <w:rsid w:val="00177955"/>
    <w:rsid w:val="00180060"/>
    <w:rsid w:val="00187CD8"/>
    <w:rsid w:val="00192B3B"/>
    <w:rsid w:val="00197736"/>
    <w:rsid w:val="001B0FAA"/>
    <w:rsid w:val="001D385E"/>
    <w:rsid w:val="001E5BDF"/>
    <w:rsid w:val="001E5DD5"/>
    <w:rsid w:val="001F0BC3"/>
    <w:rsid w:val="00214CFF"/>
    <w:rsid w:val="00215384"/>
    <w:rsid w:val="00241168"/>
    <w:rsid w:val="002570CB"/>
    <w:rsid w:val="00262A0D"/>
    <w:rsid w:val="002B19EE"/>
    <w:rsid w:val="002B3FEE"/>
    <w:rsid w:val="002C215E"/>
    <w:rsid w:val="002F14FE"/>
    <w:rsid w:val="003040F9"/>
    <w:rsid w:val="00322A0D"/>
    <w:rsid w:val="00327937"/>
    <w:rsid w:val="00341EEA"/>
    <w:rsid w:val="00354137"/>
    <w:rsid w:val="00355031"/>
    <w:rsid w:val="003657AE"/>
    <w:rsid w:val="0038545F"/>
    <w:rsid w:val="0038652B"/>
    <w:rsid w:val="003A3819"/>
    <w:rsid w:val="003A76D7"/>
    <w:rsid w:val="003B6540"/>
    <w:rsid w:val="003B6CD4"/>
    <w:rsid w:val="003C0E16"/>
    <w:rsid w:val="003E5C29"/>
    <w:rsid w:val="00413BD7"/>
    <w:rsid w:val="004165A3"/>
    <w:rsid w:val="00422276"/>
    <w:rsid w:val="0042301E"/>
    <w:rsid w:val="00425912"/>
    <w:rsid w:val="00427162"/>
    <w:rsid w:val="00463E38"/>
    <w:rsid w:val="00477307"/>
    <w:rsid w:val="00480FB6"/>
    <w:rsid w:val="004A006D"/>
    <w:rsid w:val="004B1EA1"/>
    <w:rsid w:val="004B76FA"/>
    <w:rsid w:val="004D03AF"/>
    <w:rsid w:val="004D4882"/>
    <w:rsid w:val="004E0923"/>
    <w:rsid w:val="004E7C53"/>
    <w:rsid w:val="0050059F"/>
    <w:rsid w:val="005114AA"/>
    <w:rsid w:val="005608EE"/>
    <w:rsid w:val="0056622C"/>
    <w:rsid w:val="00572161"/>
    <w:rsid w:val="00576AD0"/>
    <w:rsid w:val="00582713"/>
    <w:rsid w:val="00596530"/>
    <w:rsid w:val="005B4399"/>
    <w:rsid w:val="005C5830"/>
    <w:rsid w:val="005D54E2"/>
    <w:rsid w:val="005E3F82"/>
    <w:rsid w:val="005E553C"/>
    <w:rsid w:val="005F1F72"/>
    <w:rsid w:val="005F7BF4"/>
    <w:rsid w:val="00614B98"/>
    <w:rsid w:val="00633211"/>
    <w:rsid w:val="00647118"/>
    <w:rsid w:val="00655356"/>
    <w:rsid w:val="0067052B"/>
    <w:rsid w:val="006805D6"/>
    <w:rsid w:val="00684129"/>
    <w:rsid w:val="00690191"/>
    <w:rsid w:val="00695543"/>
    <w:rsid w:val="00696990"/>
    <w:rsid w:val="006B1A3F"/>
    <w:rsid w:val="006C103F"/>
    <w:rsid w:val="006C4C7A"/>
    <w:rsid w:val="006E04CC"/>
    <w:rsid w:val="006E1F82"/>
    <w:rsid w:val="006F6348"/>
    <w:rsid w:val="006F685D"/>
    <w:rsid w:val="007160C7"/>
    <w:rsid w:val="0071752D"/>
    <w:rsid w:val="00720441"/>
    <w:rsid w:val="007244D3"/>
    <w:rsid w:val="00731CD9"/>
    <w:rsid w:val="0073347D"/>
    <w:rsid w:val="0075404E"/>
    <w:rsid w:val="0079162F"/>
    <w:rsid w:val="007B3A33"/>
    <w:rsid w:val="007C36B8"/>
    <w:rsid w:val="007C531B"/>
    <w:rsid w:val="007C6F68"/>
    <w:rsid w:val="007E6A6C"/>
    <w:rsid w:val="007F729E"/>
    <w:rsid w:val="00800C98"/>
    <w:rsid w:val="008016FB"/>
    <w:rsid w:val="00802E56"/>
    <w:rsid w:val="008165C0"/>
    <w:rsid w:val="008368F9"/>
    <w:rsid w:val="0084132C"/>
    <w:rsid w:val="008432A0"/>
    <w:rsid w:val="008540D5"/>
    <w:rsid w:val="0086081A"/>
    <w:rsid w:val="008635C6"/>
    <w:rsid w:val="008661D1"/>
    <w:rsid w:val="00867853"/>
    <w:rsid w:val="0089030C"/>
    <w:rsid w:val="008B1410"/>
    <w:rsid w:val="008B68E5"/>
    <w:rsid w:val="008B78D5"/>
    <w:rsid w:val="008B7EC8"/>
    <w:rsid w:val="008D0063"/>
    <w:rsid w:val="008D1267"/>
    <w:rsid w:val="008D73A6"/>
    <w:rsid w:val="008E23C1"/>
    <w:rsid w:val="008E5990"/>
    <w:rsid w:val="008F3F2D"/>
    <w:rsid w:val="009454FD"/>
    <w:rsid w:val="00954835"/>
    <w:rsid w:val="00957F0E"/>
    <w:rsid w:val="0096287D"/>
    <w:rsid w:val="0097472C"/>
    <w:rsid w:val="00987F64"/>
    <w:rsid w:val="009B1107"/>
    <w:rsid w:val="009B1A41"/>
    <w:rsid w:val="009F4D5D"/>
    <w:rsid w:val="009F794D"/>
    <w:rsid w:val="00A001C6"/>
    <w:rsid w:val="00A00644"/>
    <w:rsid w:val="00A04F09"/>
    <w:rsid w:val="00A054EF"/>
    <w:rsid w:val="00A7439D"/>
    <w:rsid w:val="00A76B23"/>
    <w:rsid w:val="00A81258"/>
    <w:rsid w:val="00A81D8F"/>
    <w:rsid w:val="00A856DB"/>
    <w:rsid w:val="00A90F21"/>
    <w:rsid w:val="00A95B8D"/>
    <w:rsid w:val="00A97E9D"/>
    <w:rsid w:val="00AA6525"/>
    <w:rsid w:val="00AB531C"/>
    <w:rsid w:val="00AB794A"/>
    <w:rsid w:val="00AC3BB0"/>
    <w:rsid w:val="00AD2268"/>
    <w:rsid w:val="00AD33E2"/>
    <w:rsid w:val="00AF7A0A"/>
    <w:rsid w:val="00B05438"/>
    <w:rsid w:val="00B15547"/>
    <w:rsid w:val="00B22FBE"/>
    <w:rsid w:val="00B321C3"/>
    <w:rsid w:val="00B351A0"/>
    <w:rsid w:val="00B617F1"/>
    <w:rsid w:val="00B837BE"/>
    <w:rsid w:val="00BA7CAF"/>
    <w:rsid w:val="00BB1AAF"/>
    <w:rsid w:val="00BB25CE"/>
    <w:rsid w:val="00BE15FE"/>
    <w:rsid w:val="00BE2160"/>
    <w:rsid w:val="00BF78DF"/>
    <w:rsid w:val="00C1635D"/>
    <w:rsid w:val="00C64B86"/>
    <w:rsid w:val="00C67A60"/>
    <w:rsid w:val="00C71558"/>
    <w:rsid w:val="00C72F48"/>
    <w:rsid w:val="00C815E3"/>
    <w:rsid w:val="00C9512C"/>
    <w:rsid w:val="00CA1590"/>
    <w:rsid w:val="00CB349D"/>
    <w:rsid w:val="00CC4ADF"/>
    <w:rsid w:val="00CD7395"/>
    <w:rsid w:val="00D07749"/>
    <w:rsid w:val="00D17590"/>
    <w:rsid w:val="00D27C26"/>
    <w:rsid w:val="00D40D94"/>
    <w:rsid w:val="00D47DD7"/>
    <w:rsid w:val="00D640B6"/>
    <w:rsid w:val="00D72B28"/>
    <w:rsid w:val="00D818AA"/>
    <w:rsid w:val="00DB78D1"/>
    <w:rsid w:val="00DF2B42"/>
    <w:rsid w:val="00E03092"/>
    <w:rsid w:val="00E10A35"/>
    <w:rsid w:val="00E25844"/>
    <w:rsid w:val="00E26399"/>
    <w:rsid w:val="00E3559D"/>
    <w:rsid w:val="00E55D3A"/>
    <w:rsid w:val="00E61C65"/>
    <w:rsid w:val="00E80A4C"/>
    <w:rsid w:val="00E84FFC"/>
    <w:rsid w:val="00E953A2"/>
    <w:rsid w:val="00EA37DA"/>
    <w:rsid w:val="00EC7B37"/>
    <w:rsid w:val="00F006CD"/>
    <w:rsid w:val="00F16DD2"/>
    <w:rsid w:val="00F502A2"/>
    <w:rsid w:val="00F5770C"/>
    <w:rsid w:val="00F57B75"/>
    <w:rsid w:val="00F86253"/>
    <w:rsid w:val="00FA52A9"/>
    <w:rsid w:val="00FB1EE6"/>
    <w:rsid w:val="00FC1E78"/>
    <w:rsid w:val="00FC4E68"/>
    <w:rsid w:val="00FD657C"/>
    <w:rsid w:val="00FE1E62"/>
    <w:rsid w:val="00FF4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 w:id="19369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86A0-3C80-4E9D-A32B-2297D778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Melki Alia</cp:lastModifiedBy>
  <cp:revision>5</cp:revision>
  <cp:lastPrinted>2015-02-05T10:23:00Z</cp:lastPrinted>
  <dcterms:created xsi:type="dcterms:W3CDTF">2015-02-05T10:22:00Z</dcterms:created>
  <dcterms:modified xsi:type="dcterms:W3CDTF">2015-02-09T09:21:00Z</dcterms:modified>
</cp:coreProperties>
</file>