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B092" w14:textId="77777777" w:rsidR="002C01C0" w:rsidRPr="00681542" w:rsidRDefault="002C01C0" w:rsidP="00681542">
      <w:pPr>
        <w:spacing w:after="0"/>
        <w:ind w:left="284"/>
        <w:jc w:val="both"/>
        <w:rPr>
          <w:rFonts w:ascii="Arial" w:hAnsi="Arial" w:cs="Arial"/>
          <w:b/>
          <w:bCs/>
          <w:sz w:val="20"/>
          <w:szCs w:val="20"/>
        </w:rPr>
      </w:pPr>
    </w:p>
    <w:p w14:paraId="52141082" w14:textId="050797F9" w:rsidR="00681542" w:rsidRPr="00681542" w:rsidRDefault="00681542" w:rsidP="00681542">
      <w:pPr>
        <w:spacing w:after="0"/>
        <w:ind w:left="284"/>
        <w:jc w:val="both"/>
        <w:rPr>
          <w:rFonts w:ascii="Arial" w:hAnsi="Arial" w:cs="Arial"/>
          <w:b/>
          <w:bCs/>
          <w:sz w:val="24"/>
          <w:szCs w:val="24"/>
        </w:rPr>
      </w:pPr>
      <w:r w:rsidRPr="00681542">
        <w:rPr>
          <w:rFonts w:ascii="Arial" w:hAnsi="Arial" w:cs="Arial"/>
          <w:b/>
          <w:bCs/>
          <w:sz w:val="24"/>
          <w:szCs w:val="24"/>
        </w:rPr>
        <w:t>Décret n° 2014-3607 du 3 octobre 2014, portant modification du décret n° 2013--5183 du 18 novembre 2013, fixant les critères, les procédures et les conditions d'octroi du financemen</w:t>
      </w:r>
      <w:r w:rsidRPr="00681542">
        <w:rPr>
          <w:rFonts w:ascii="Arial" w:hAnsi="Arial" w:cs="Arial"/>
          <w:b/>
          <w:bCs/>
          <w:sz w:val="24"/>
          <w:szCs w:val="24"/>
        </w:rPr>
        <w:t>t public pour les associations</w:t>
      </w:r>
    </w:p>
    <w:p w14:paraId="1EB2BE5C" w14:textId="77777777" w:rsidR="00681542" w:rsidRDefault="00681542" w:rsidP="00681542">
      <w:pPr>
        <w:spacing w:after="0"/>
        <w:ind w:left="284"/>
        <w:jc w:val="both"/>
        <w:rPr>
          <w:rFonts w:ascii="Arial" w:hAnsi="Arial" w:cs="Arial"/>
          <w:sz w:val="20"/>
          <w:szCs w:val="20"/>
        </w:rPr>
      </w:pPr>
    </w:p>
    <w:p w14:paraId="66CA3BEB"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Le chef du gouvernement, </w:t>
      </w:r>
    </w:p>
    <w:p w14:paraId="4A3D98A0" w14:textId="77777777" w:rsidR="00681542" w:rsidRDefault="00681542" w:rsidP="00681542">
      <w:pPr>
        <w:spacing w:after="0"/>
        <w:ind w:left="284"/>
        <w:jc w:val="both"/>
        <w:rPr>
          <w:rFonts w:ascii="Arial" w:hAnsi="Arial" w:cs="Arial"/>
          <w:sz w:val="20"/>
          <w:szCs w:val="20"/>
        </w:rPr>
      </w:pPr>
    </w:p>
    <w:p w14:paraId="77698766"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Sur proposition du ministre des affaires sociales, </w:t>
      </w:r>
    </w:p>
    <w:p w14:paraId="38151DB9" w14:textId="77777777" w:rsidR="00681542" w:rsidRDefault="00681542" w:rsidP="00681542">
      <w:pPr>
        <w:spacing w:after="0"/>
        <w:ind w:left="284"/>
        <w:jc w:val="both"/>
        <w:rPr>
          <w:rFonts w:ascii="Arial" w:hAnsi="Arial" w:cs="Arial"/>
          <w:sz w:val="20"/>
          <w:szCs w:val="20"/>
        </w:rPr>
      </w:pPr>
    </w:p>
    <w:p w14:paraId="267C5CE0"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Vu la loi constituante n° 2011-6 du 16 déce</w:t>
      </w:r>
      <w:bookmarkStart w:id="0" w:name="_GoBack"/>
      <w:bookmarkEnd w:id="0"/>
      <w:r w:rsidRPr="00681542">
        <w:rPr>
          <w:rFonts w:ascii="Arial" w:hAnsi="Arial" w:cs="Arial"/>
          <w:sz w:val="20"/>
          <w:szCs w:val="20"/>
        </w:rPr>
        <w:t xml:space="preserve">mbre 2011, portant organisation provisoire des pouvoirs publics, telle modifiée et complétée par la loi organique n° 2014-3 du 3 février 2014 et la loi organique n° 2014-4 du 5 février 2014, </w:t>
      </w:r>
    </w:p>
    <w:p w14:paraId="1D2215C1" w14:textId="77777777" w:rsidR="00681542" w:rsidRDefault="00681542" w:rsidP="00681542">
      <w:pPr>
        <w:spacing w:after="0"/>
        <w:ind w:left="284"/>
        <w:jc w:val="both"/>
        <w:rPr>
          <w:rFonts w:ascii="Arial" w:hAnsi="Arial" w:cs="Arial"/>
          <w:sz w:val="20"/>
          <w:szCs w:val="20"/>
        </w:rPr>
      </w:pPr>
    </w:p>
    <w:p w14:paraId="0C03CAC8"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n° 68-8 du 8 mars 1968, portant organisation de la cour des comptes, ensemble les textes qui l'ont modifiée ou complétée et notamment la loi organique n ° 2008-3 du 29 janvier 2008, </w:t>
      </w:r>
    </w:p>
    <w:p w14:paraId="3FA954E5" w14:textId="77777777" w:rsidR="00681542" w:rsidRDefault="00681542" w:rsidP="00681542">
      <w:pPr>
        <w:spacing w:after="0"/>
        <w:ind w:left="284"/>
        <w:jc w:val="both"/>
        <w:rPr>
          <w:rFonts w:ascii="Arial" w:hAnsi="Arial" w:cs="Arial"/>
          <w:sz w:val="20"/>
          <w:szCs w:val="20"/>
        </w:rPr>
      </w:pPr>
    </w:p>
    <w:p w14:paraId="08870020"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n° 75-33 de du 14 mai 1975, portant promulgation de la loi organique des communes, ensemble les textes qui l'ont modifiée ou complétée et notamment la loi organique n ° 2008-57 du 4 août 2008, </w:t>
      </w:r>
    </w:p>
    <w:p w14:paraId="5E2AAF7A" w14:textId="77777777" w:rsidR="00681542" w:rsidRDefault="00681542" w:rsidP="00681542">
      <w:pPr>
        <w:spacing w:after="0"/>
        <w:ind w:left="284"/>
        <w:jc w:val="both"/>
        <w:rPr>
          <w:rFonts w:ascii="Arial" w:hAnsi="Arial" w:cs="Arial"/>
          <w:sz w:val="20"/>
          <w:szCs w:val="20"/>
        </w:rPr>
      </w:pPr>
    </w:p>
    <w:p w14:paraId="3E1C7835"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n° 75-35 du 14 mai 1975, portant loi organique du budget des collectivités publiques locales, telle que modifiée par les textes subséquents, </w:t>
      </w:r>
    </w:p>
    <w:p w14:paraId="269AD6CE" w14:textId="77777777" w:rsidR="00681542" w:rsidRDefault="00681542" w:rsidP="00681542">
      <w:pPr>
        <w:spacing w:after="0"/>
        <w:ind w:left="284"/>
        <w:jc w:val="both"/>
        <w:rPr>
          <w:rFonts w:ascii="Arial" w:hAnsi="Arial" w:cs="Arial"/>
          <w:sz w:val="20"/>
          <w:szCs w:val="20"/>
        </w:rPr>
      </w:pPr>
    </w:p>
    <w:p w14:paraId="653C6603"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organique n° 89-11 du 4 février 1989, relative aux conseils régionaux, telle que complétée par la loi organique n ° 93-119 du 27 décembre 1993, </w:t>
      </w:r>
    </w:p>
    <w:p w14:paraId="1D2F5D80" w14:textId="77777777" w:rsidR="00681542" w:rsidRDefault="00681542" w:rsidP="00681542">
      <w:pPr>
        <w:spacing w:after="0"/>
        <w:ind w:left="284"/>
        <w:jc w:val="both"/>
        <w:rPr>
          <w:rFonts w:ascii="Arial" w:hAnsi="Arial" w:cs="Arial"/>
          <w:sz w:val="20"/>
          <w:szCs w:val="20"/>
        </w:rPr>
      </w:pPr>
    </w:p>
    <w:p w14:paraId="59227C58"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organique n° 95-11 du 6 février 1995, relative aux structures sportives, telle que modifiée ou complétée par les textes subséquents et notamment le décret-loi n° 2011-66 du 14 juillet 2011, </w:t>
      </w:r>
    </w:p>
    <w:p w14:paraId="3D22C7F9" w14:textId="77777777" w:rsidR="00681542" w:rsidRDefault="00681542" w:rsidP="00681542">
      <w:pPr>
        <w:spacing w:after="0"/>
        <w:ind w:left="284"/>
        <w:jc w:val="both"/>
        <w:rPr>
          <w:rFonts w:ascii="Arial" w:hAnsi="Arial" w:cs="Arial"/>
          <w:sz w:val="20"/>
          <w:szCs w:val="20"/>
        </w:rPr>
      </w:pPr>
    </w:p>
    <w:p w14:paraId="1B093475"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n° 89-9 du 1er février 1989, relative aux participations, entreprises et établissements publics, ensemble les textes qui l'ont modifiée ou complétée et notamment la loi n° 2006-36 du 12 juin 2006, </w:t>
      </w:r>
    </w:p>
    <w:p w14:paraId="7A5E7871" w14:textId="77777777" w:rsidR="00681542" w:rsidRDefault="00681542" w:rsidP="00681542">
      <w:pPr>
        <w:spacing w:after="0"/>
        <w:ind w:left="284"/>
        <w:jc w:val="both"/>
        <w:rPr>
          <w:rFonts w:ascii="Arial" w:hAnsi="Arial" w:cs="Arial"/>
          <w:sz w:val="20"/>
          <w:szCs w:val="20"/>
        </w:rPr>
      </w:pPr>
    </w:p>
    <w:p w14:paraId="4B2E22FA"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loi d'orientation n° 2005-83 du 15 août 2005, relative à la promotion et la protection des personnes handicapées, </w:t>
      </w:r>
    </w:p>
    <w:p w14:paraId="153F70DA" w14:textId="77777777" w:rsidR="00681542" w:rsidRDefault="00681542" w:rsidP="00681542">
      <w:pPr>
        <w:spacing w:after="0"/>
        <w:ind w:left="284"/>
        <w:jc w:val="both"/>
        <w:rPr>
          <w:rFonts w:ascii="Arial" w:hAnsi="Arial" w:cs="Arial"/>
          <w:sz w:val="20"/>
          <w:szCs w:val="20"/>
        </w:rPr>
      </w:pPr>
    </w:p>
    <w:p w14:paraId="4400ACAF"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décret-loi n° 2011-88 du 24 septembre 2011, portant organisation des associations et notamment son article 36, </w:t>
      </w:r>
    </w:p>
    <w:p w14:paraId="3DD920F4" w14:textId="77777777" w:rsidR="00681542" w:rsidRDefault="00681542" w:rsidP="00681542">
      <w:pPr>
        <w:spacing w:after="0"/>
        <w:ind w:left="284"/>
        <w:jc w:val="both"/>
        <w:rPr>
          <w:rFonts w:ascii="Arial" w:hAnsi="Arial" w:cs="Arial"/>
          <w:sz w:val="20"/>
          <w:szCs w:val="20"/>
        </w:rPr>
      </w:pPr>
    </w:p>
    <w:p w14:paraId="68ED8393"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 n° 90-1855 du 10 novembre 1990, fixant le régime de rémunération des chefs d'entreprises à majorité publique, ensemble les textes qui l'ont modifié ou complété et notamment le décret n° 2006-2564 du 2 octobre 2006, </w:t>
      </w:r>
    </w:p>
    <w:p w14:paraId="4DD20E9A" w14:textId="77777777" w:rsidR="00681542" w:rsidRDefault="00681542" w:rsidP="00681542">
      <w:pPr>
        <w:spacing w:after="0"/>
        <w:ind w:left="284"/>
        <w:jc w:val="both"/>
        <w:rPr>
          <w:rFonts w:ascii="Arial" w:hAnsi="Arial" w:cs="Arial"/>
          <w:sz w:val="20"/>
          <w:szCs w:val="20"/>
        </w:rPr>
      </w:pPr>
    </w:p>
    <w:p w14:paraId="7ADD7B9C"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 n° 2012-2369 du 16 octobre 2012, fixant les programmes du fond national de l'emploi, les conditions et les modalités de leur bénéfice, tel que modifié ou complété par le décret n° 2013-3766 du 18 septembre 2013, </w:t>
      </w:r>
    </w:p>
    <w:p w14:paraId="0E86FB3F" w14:textId="77777777" w:rsidR="00681542" w:rsidRDefault="00681542" w:rsidP="00681542">
      <w:pPr>
        <w:spacing w:after="0"/>
        <w:ind w:left="284"/>
        <w:jc w:val="both"/>
        <w:rPr>
          <w:rFonts w:ascii="Arial" w:hAnsi="Arial" w:cs="Arial"/>
          <w:sz w:val="20"/>
          <w:szCs w:val="20"/>
        </w:rPr>
      </w:pPr>
    </w:p>
    <w:p w14:paraId="1DDC0E61"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 n° 2013-5183 du 18 novembre 2013, fixant les critères, les procédures et les conditions d'octroi du financement public pour les associations, </w:t>
      </w:r>
    </w:p>
    <w:p w14:paraId="6B61566F" w14:textId="77777777" w:rsidR="00681542" w:rsidRDefault="00681542" w:rsidP="00681542">
      <w:pPr>
        <w:spacing w:after="0"/>
        <w:ind w:left="284"/>
        <w:jc w:val="both"/>
        <w:rPr>
          <w:rFonts w:ascii="Arial" w:hAnsi="Arial" w:cs="Arial"/>
          <w:sz w:val="20"/>
          <w:szCs w:val="20"/>
        </w:rPr>
      </w:pPr>
    </w:p>
    <w:p w14:paraId="1E2058B6"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l'arrêté Républicain n ° 2014-32 du 29 janvier 2014, portant nomination du chef du gouvernement, </w:t>
      </w:r>
    </w:p>
    <w:p w14:paraId="103DC328" w14:textId="77777777" w:rsidR="00681542" w:rsidRDefault="00681542" w:rsidP="00681542">
      <w:pPr>
        <w:spacing w:after="0"/>
        <w:ind w:left="284"/>
        <w:jc w:val="both"/>
        <w:rPr>
          <w:rFonts w:ascii="Arial" w:hAnsi="Arial" w:cs="Arial"/>
          <w:sz w:val="20"/>
          <w:szCs w:val="20"/>
        </w:rPr>
      </w:pPr>
    </w:p>
    <w:p w14:paraId="59F7FDCE"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 n° 2014-413 du 3 février 2014, portant nomination des membres du gouvernement, </w:t>
      </w:r>
    </w:p>
    <w:p w14:paraId="2C749F7D" w14:textId="77777777" w:rsidR="00681542" w:rsidRDefault="00681542" w:rsidP="00681542">
      <w:pPr>
        <w:spacing w:after="0"/>
        <w:ind w:left="284"/>
        <w:jc w:val="both"/>
        <w:rPr>
          <w:rFonts w:ascii="Arial" w:hAnsi="Arial" w:cs="Arial"/>
          <w:sz w:val="20"/>
          <w:szCs w:val="20"/>
        </w:rPr>
      </w:pPr>
    </w:p>
    <w:p w14:paraId="19D0B0D0"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le décret n° 2014-1039 du 13 mars 2014, portant réglementation des marchés publics, </w:t>
      </w:r>
    </w:p>
    <w:p w14:paraId="11173C9B" w14:textId="77777777" w:rsidR="00681542" w:rsidRDefault="00681542" w:rsidP="00681542">
      <w:pPr>
        <w:spacing w:after="0"/>
        <w:ind w:left="284"/>
        <w:jc w:val="both"/>
        <w:rPr>
          <w:rFonts w:ascii="Arial" w:hAnsi="Arial" w:cs="Arial"/>
          <w:sz w:val="20"/>
          <w:szCs w:val="20"/>
        </w:rPr>
      </w:pPr>
    </w:p>
    <w:p w14:paraId="761BE165"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l'avis du tribunal administratif, </w:t>
      </w:r>
    </w:p>
    <w:p w14:paraId="437CB0A5" w14:textId="77777777" w:rsidR="00681542" w:rsidRDefault="00681542" w:rsidP="00681542">
      <w:pPr>
        <w:spacing w:after="0"/>
        <w:ind w:left="284"/>
        <w:jc w:val="both"/>
        <w:rPr>
          <w:rFonts w:ascii="Arial" w:hAnsi="Arial" w:cs="Arial"/>
          <w:sz w:val="20"/>
          <w:szCs w:val="20"/>
        </w:rPr>
      </w:pPr>
    </w:p>
    <w:p w14:paraId="26A2C49F"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Vu la délibération du conseil des ministres et après information du président de la République. </w:t>
      </w:r>
    </w:p>
    <w:p w14:paraId="21917579" w14:textId="77777777" w:rsidR="00681542" w:rsidRDefault="00681542" w:rsidP="00681542">
      <w:pPr>
        <w:spacing w:after="0"/>
        <w:ind w:left="284"/>
        <w:jc w:val="both"/>
        <w:rPr>
          <w:rFonts w:ascii="Arial" w:hAnsi="Arial" w:cs="Arial"/>
          <w:sz w:val="20"/>
          <w:szCs w:val="20"/>
        </w:rPr>
      </w:pPr>
    </w:p>
    <w:p w14:paraId="4D5DD503" w14:textId="77777777" w:rsidR="00681542" w:rsidRPr="00681542" w:rsidRDefault="00681542" w:rsidP="00681542">
      <w:pPr>
        <w:spacing w:after="0"/>
        <w:ind w:left="284"/>
        <w:jc w:val="both"/>
        <w:rPr>
          <w:rFonts w:ascii="Arial" w:hAnsi="Arial" w:cs="Arial"/>
          <w:sz w:val="20"/>
          <w:szCs w:val="20"/>
        </w:rPr>
      </w:pPr>
      <w:r w:rsidRPr="00681542">
        <w:rPr>
          <w:rFonts w:ascii="Arial" w:hAnsi="Arial" w:cs="Arial"/>
          <w:sz w:val="20"/>
          <w:szCs w:val="20"/>
        </w:rPr>
        <w:t xml:space="preserve">Décrète : </w:t>
      </w:r>
    </w:p>
    <w:p w14:paraId="64545A07" w14:textId="77777777" w:rsidR="00681542" w:rsidRDefault="00681542" w:rsidP="00681542">
      <w:pPr>
        <w:spacing w:after="0"/>
        <w:ind w:left="284"/>
        <w:jc w:val="both"/>
        <w:rPr>
          <w:rFonts w:ascii="Arial" w:hAnsi="Arial" w:cs="Arial"/>
          <w:sz w:val="20"/>
          <w:szCs w:val="20"/>
        </w:rPr>
      </w:pPr>
    </w:p>
    <w:p w14:paraId="23C1B859" w14:textId="2E6C5A53" w:rsidR="00681542" w:rsidRPr="00681542" w:rsidRDefault="00681542" w:rsidP="00681542">
      <w:pPr>
        <w:spacing w:after="0"/>
        <w:ind w:left="284"/>
        <w:jc w:val="both"/>
        <w:rPr>
          <w:rFonts w:ascii="Arial" w:hAnsi="Arial" w:cs="Arial"/>
          <w:sz w:val="20"/>
          <w:szCs w:val="20"/>
        </w:rPr>
      </w:pPr>
      <w:r w:rsidRPr="00681542">
        <w:rPr>
          <w:rFonts w:ascii="Arial" w:hAnsi="Arial" w:cs="Arial"/>
          <w:b/>
          <w:bCs/>
          <w:i/>
          <w:iCs/>
          <w:sz w:val="20"/>
          <w:szCs w:val="20"/>
        </w:rPr>
        <w:t xml:space="preserve">Article premier </w:t>
      </w:r>
      <w:r w:rsidRPr="00681542">
        <w:rPr>
          <w:rFonts w:ascii="Arial" w:hAnsi="Arial" w:cs="Arial"/>
          <w:b/>
          <w:bCs/>
          <w:i/>
          <w:iCs/>
          <w:sz w:val="20"/>
          <w:szCs w:val="20"/>
        </w:rPr>
        <w:t>–</w:t>
      </w:r>
      <w:r w:rsidRPr="00681542">
        <w:rPr>
          <w:rFonts w:ascii="Arial" w:hAnsi="Arial" w:cs="Arial"/>
          <w:b/>
          <w:bCs/>
          <w:i/>
          <w:iCs/>
          <w:sz w:val="20"/>
          <w:szCs w:val="20"/>
        </w:rPr>
        <w:t xml:space="preserve"> </w:t>
      </w:r>
      <w:r w:rsidRPr="00681542">
        <w:rPr>
          <w:rFonts w:ascii="Arial" w:hAnsi="Arial" w:cs="Arial"/>
          <w:sz w:val="20"/>
          <w:szCs w:val="20"/>
        </w:rPr>
        <w:t xml:space="preserve">Sont abrogées les dispositions de l'article 25 du décret n° 2013-5183 du 18 novembre 2013 susvisé et remplacées par les dispositions suivantes : </w:t>
      </w:r>
    </w:p>
    <w:p w14:paraId="130EABCB" w14:textId="77777777" w:rsidR="00681542" w:rsidRDefault="00681542" w:rsidP="00681542">
      <w:pPr>
        <w:spacing w:after="0"/>
        <w:ind w:left="284"/>
        <w:jc w:val="both"/>
        <w:rPr>
          <w:rFonts w:ascii="Arial" w:hAnsi="Arial" w:cs="Arial"/>
          <w:sz w:val="20"/>
          <w:szCs w:val="20"/>
        </w:rPr>
      </w:pPr>
    </w:p>
    <w:p w14:paraId="59C9E328" w14:textId="0EF6AB4F" w:rsidR="00681542" w:rsidRPr="00681542" w:rsidRDefault="00681542" w:rsidP="00681542">
      <w:pPr>
        <w:spacing w:after="0"/>
        <w:ind w:left="284"/>
        <w:jc w:val="both"/>
        <w:rPr>
          <w:rFonts w:ascii="Arial" w:hAnsi="Arial" w:cs="Arial"/>
          <w:sz w:val="20"/>
          <w:szCs w:val="20"/>
        </w:rPr>
      </w:pPr>
      <w:r w:rsidRPr="00681542">
        <w:rPr>
          <w:rFonts w:ascii="Arial" w:hAnsi="Arial" w:cs="Arial"/>
          <w:b/>
          <w:bCs/>
          <w:i/>
          <w:iCs/>
          <w:sz w:val="20"/>
          <w:szCs w:val="20"/>
        </w:rPr>
        <w:t xml:space="preserve">Article 25 (nouveau) </w:t>
      </w:r>
      <w:r w:rsidRPr="00681542">
        <w:rPr>
          <w:rFonts w:ascii="Arial" w:hAnsi="Arial" w:cs="Arial"/>
          <w:b/>
          <w:bCs/>
          <w:i/>
          <w:iCs/>
          <w:sz w:val="20"/>
          <w:szCs w:val="20"/>
        </w:rPr>
        <w:t>–</w:t>
      </w:r>
      <w:r w:rsidRPr="00681542">
        <w:rPr>
          <w:rFonts w:ascii="Arial" w:hAnsi="Arial" w:cs="Arial"/>
          <w:sz w:val="20"/>
          <w:szCs w:val="20"/>
        </w:rPr>
        <w:t xml:space="preserve"> Sont exclus de l'application des dispositions du présent décret les subventions pris en charge par l'Etat et les caisses de sécurité sociales, au titre des frais de réadaptation et d'éducation spécialisée et le soin à la maison pour des personnes handicapées au sein des institutions d'éducation spécialisée gérées par des associations de soin des personnes handicapées. </w:t>
      </w:r>
    </w:p>
    <w:p w14:paraId="34E137C7" w14:textId="77777777" w:rsidR="00681542" w:rsidRDefault="00681542" w:rsidP="00681542">
      <w:pPr>
        <w:spacing w:after="0"/>
        <w:ind w:left="284"/>
        <w:jc w:val="both"/>
        <w:rPr>
          <w:rFonts w:ascii="Arial" w:hAnsi="Arial" w:cs="Arial"/>
          <w:sz w:val="20"/>
          <w:szCs w:val="20"/>
        </w:rPr>
      </w:pPr>
    </w:p>
    <w:p w14:paraId="311C518B" w14:textId="3F04DE87" w:rsidR="00681542" w:rsidRPr="00681542" w:rsidRDefault="00681542" w:rsidP="00681542">
      <w:pPr>
        <w:spacing w:after="0"/>
        <w:ind w:left="284"/>
        <w:jc w:val="both"/>
        <w:rPr>
          <w:rFonts w:ascii="Arial" w:hAnsi="Arial" w:cs="Arial"/>
          <w:sz w:val="20"/>
          <w:szCs w:val="20"/>
        </w:rPr>
      </w:pPr>
      <w:r w:rsidRPr="00681542">
        <w:rPr>
          <w:rFonts w:ascii="Arial" w:hAnsi="Arial" w:cs="Arial"/>
          <w:b/>
          <w:bCs/>
          <w:i/>
          <w:iCs/>
          <w:sz w:val="20"/>
          <w:szCs w:val="20"/>
        </w:rPr>
        <w:t xml:space="preserve">Art. 2 </w:t>
      </w:r>
      <w:r w:rsidRPr="00681542">
        <w:rPr>
          <w:rFonts w:ascii="Arial" w:hAnsi="Arial" w:cs="Arial"/>
          <w:b/>
          <w:bCs/>
          <w:i/>
          <w:iCs/>
          <w:sz w:val="20"/>
          <w:szCs w:val="20"/>
        </w:rPr>
        <w:t>–</w:t>
      </w:r>
      <w:r w:rsidRPr="00681542">
        <w:rPr>
          <w:rFonts w:ascii="Arial" w:hAnsi="Arial" w:cs="Arial"/>
          <w:sz w:val="20"/>
          <w:szCs w:val="20"/>
        </w:rPr>
        <w:t xml:space="preserve"> Les ministres, les présidents des collectivités locales et les chefs d'établissements, d'entreprises publiques et les sociétés à participation publique sont chargés, chacun en ce qui le concerne, de l'exécution du présent décret qui sera publié au Journal Officiel de la République Tunisienne.</w:t>
      </w:r>
    </w:p>
    <w:p w14:paraId="3F25AD80" w14:textId="77777777" w:rsidR="00681542" w:rsidRDefault="00681542" w:rsidP="00681542">
      <w:pPr>
        <w:spacing w:after="0"/>
        <w:ind w:left="284"/>
        <w:jc w:val="both"/>
        <w:rPr>
          <w:rFonts w:ascii="Arial" w:hAnsi="Arial" w:cs="Arial"/>
          <w:sz w:val="20"/>
          <w:szCs w:val="20"/>
        </w:rPr>
      </w:pPr>
    </w:p>
    <w:p w14:paraId="3DFA2177" w14:textId="26711D6F" w:rsidR="00881166" w:rsidRPr="00681542" w:rsidRDefault="00681542" w:rsidP="00681542">
      <w:pPr>
        <w:spacing w:after="0"/>
        <w:ind w:left="284"/>
        <w:jc w:val="both"/>
        <w:rPr>
          <w:rFonts w:ascii="Arial" w:hAnsi="Arial" w:cs="Arial"/>
          <w:b/>
          <w:bCs/>
          <w:sz w:val="20"/>
          <w:szCs w:val="20"/>
        </w:rPr>
      </w:pPr>
      <w:r w:rsidRPr="00681542">
        <w:rPr>
          <w:rFonts w:ascii="Arial" w:hAnsi="Arial" w:cs="Arial"/>
          <w:b/>
          <w:bCs/>
          <w:sz w:val="20"/>
          <w:szCs w:val="20"/>
        </w:rPr>
        <w:t>Tunis, le 3 octobre 2014.</w:t>
      </w:r>
    </w:p>
    <w:sectPr w:rsidR="00881166" w:rsidRPr="00681542"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E20D8" w14:textId="77777777" w:rsidR="0005382F" w:rsidRDefault="0005382F" w:rsidP="008F3F2D">
      <w:r>
        <w:separator/>
      </w:r>
    </w:p>
  </w:endnote>
  <w:endnote w:type="continuationSeparator" w:id="0">
    <w:p w14:paraId="14F4D1A2" w14:textId="77777777" w:rsidR="0005382F" w:rsidRDefault="0005382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8E2330" w:rsidRPr="00C64B86" w:rsidRDefault="008E233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E2330" w:rsidRPr="00A00644" w:rsidRDefault="008E233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p>
                        <w:p w14:paraId="75F5800F" w14:textId="77777777" w:rsidR="008E2330" w:rsidRDefault="008E233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E2330" w:rsidRPr="00A00644" w:rsidRDefault="008E233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p>
                  <w:p w14:paraId="75F5800F" w14:textId="77777777" w:rsidR="008E2330" w:rsidRDefault="008E2330"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8E2330" w:rsidRDefault="008E2330">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E2330" w:rsidRPr="00A00644" w:rsidRDefault="008E233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154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E2330" w:rsidRPr="00A00644" w:rsidRDefault="008E2330"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154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1542">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7BBE" w14:textId="77777777" w:rsidR="008E2330" w:rsidRDefault="008E23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55E00" w14:textId="77777777" w:rsidR="0005382F" w:rsidRDefault="0005382F" w:rsidP="008F3F2D">
      <w:r>
        <w:separator/>
      </w:r>
    </w:p>
  </w:footnote>
  <w:footnote w:type="continuationSeparator" w:id="0">
    <w:p w14:paraId="098B3576" w14:textId="77777777" w:rsidR="0005382F" w:rsidRDefault="0005382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8E2330" w:rsidRDefault="008E2330">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E2330" w:rsidRDefault="008E2330" w:rsidP="0097472C">
                          <w:pPr>
                            <w:spacing w:after="0" w:line="240" w:lineRule="auto"/>
                            <w:ind w:left="567"/>
                            <w:rPr>
                              <w:rFonts w:ascii="Arial" w:eastAsia="Times New Roman" w:hAnsi="Arial" w:cs="Times New Roman"/>
                              <w:sz w:val="24"/>
                              <w:szCs w:val="24"/>
                            </w:rPr>
                          </w:pPr>
                        </w:p>
                        <w:p w14:paraId="6E13C0BA" w14:textId="77777777" w:rsidR="008E2330" w:rsidRPr="005F7BF4" w:rsidRDefault="008E2330"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E2330" w:rsidRPr="005F7BF4" w:rsidRDefault="008E2330"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E2330" w:rsidRDefault="008E2330" w:rsidP="0097472C">
                    <w:pPr>
                      <w:spacing w:after="0" w:line="240" w:lineRule="auto"/>
                      <w:ind w:left="567"/>
                      <w:rPr>
                        <w:rFonts w:ascii="Arial" w:eastAsia="Times New Roman" w:hAnsi="Arial" w:cs="Times New Roman"/>
                        <w:sz w:val="24"/>
                        <w:szCs w:val="24"/>
                      </w:rPr>
                    </w:pPr>
                  </w:p>
                  <w:p w14:paraId="6E13C0BA" w14:textId="77777777" w:rsidR="008E2330" w:rsidRPr="005F7BF4" w:rsidRDefault="008E2330"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E2330" w:rsidRPr="005F7BF4" w:rsidRDefault="008E2330"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8E2330" w:rsidRDefault="008E2330">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E2330" w:rsidRDefault="008E2330" w:rsidP="0075404E">
                          <w:pPr>
                            <w:spacing w:after="0" w:line="20" w:lineRule="atLeast"/>
                            <w:ind w:left="567"/>
                            <w:rPr>
                              <w:rFonts w:ascii="Arial" w:eastAsia="Times New Roman" w:hAnsi="Arial" w:cs="Arial"/>
                              <w:sz w:val="24"/>
                              <w:szCs w:val="20"/>
                              <w:lang w:eastAsia="en-US"/>
                            </w:rPr>
                          </w:pPr>
                        </w:p>
                        <w:p w14:paraId="590536B7" w14:textId="77777777" w:rsidR="008E2330" w:rsidRPr="00317C84" w:rsidRDefault="008E2330"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E2330" w:rsidRPr="00317C84" w:rsidRDefault="008E2330"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E2330" w:rsidRPr="00CA3D64" w:rsidRDefault="008E2330"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E2330" w:rsidRDefault="008E2330" w:rsidP="0075404E">
                    <w:pPr>
                      <w:spacing w:after="0" w:line="20" w:lineRule="atLeast"/>
                      <w:ind w:left="567"/>
                      <w:rPr>
                        <w:rFonts w:ascii="Arial" w:eastAsia="Times New Roman" w:hAnsi="Arial" w:cs="Arial"/>
                        <w:sz w:val="24"/>
                        <w:szCs w:val="20"/>
                        <w:lang w:eastAsia="en-US"/>
                      </w:rPr>
                    </w:pPr>
                  </w:p>
                  <w:p w14:paraId="590536B7" w14:textId="77777777" w:rsidR="008E2330" w:rsidRPr="00317C84" w:rsidRDefault="008E2330"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E2330" w:rsidRPr="00317C84" w:rsidRDefault="008E2330"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E2330" w:rsidRPr="00CA3D64" w:rsidRDefault="008E2330"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DE1" w14:textId="77777777" w:rsidR="008E2330" w:rsidRDefault="008E23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5688B"/>
    <w:multiLevelType w:val="hybridMultilevel"/>
    <w:tmpl w:val="62A84C5A"/>
    <w:lvl w:ilvl="0" w:tplc="1062E85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47F7842"/>
    <w:multiLevelType w:val="hybridMultilevel"/>
    <w:tmpl w:val="81EEED9E"/>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B9A08C3"/>
    <w:multiLevelType w:val="hybridMultilevel"/>
    <w:tmpl w:val="348AE088"/>
    <w:lvl w:ilvl="0" w:tplc="661469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97C2B"/>
    <w:multiLevelType w:val="hybridMultilevel"/>
    <w:tmpl w:val="957E7DD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1E166115"/>
    <w:multiLevelType w:val="hybridMultilevel"/>
    <w:tmpl w:val="7F9030E4"/>
    <w:lvl w:ilvl="0" w:tplc="D8DC3080">
      <w:numFmt w:val="bullet"/>
      <w:lvlText w:val="̶"/>
      <w:lvlJc w:val="left"/>
      <w:pPr>
        <w:ind w:left="1723" w:hanging="360"/>
      </w:pPr>
      <w:rPr>
        <w:rFonts w:ascii="Arial" w:eastAsiaTheme="minorEastAsia" w:hAnsi="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9">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5015500"/>
    <w:multiLevelType w:val="hybridMultilevel"/>
    <w:tmpl w:val="BC70AC6A"/>
    <w:lvl w:ilvl="0" w:tplc="A5E03334">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D33C8"/>
    <w:multiLevelType w:val="hybridMultilevel"/>
    <w:tmpl w:val="8D4C1C1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BE75721"/>
    <w:multiLevelType w:val="hybridMultilevel"/>
    <w:tmpl w:val="CECA907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CE72A6"/>
    <w:multiLevelType w:val="hybridMultilevel"/>
    <w:tmpl w:val="AD60AFC0"/>
    <w:lvl w:ilvl="0" w:tplc="09C2A67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8C7B9B"/>
    <w:multiLevelType w:val="hybridMultilevel"/>
    <w:tmpl w:val="73D6773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8"/>
  </w:num>
  <w:num w:numId="4">
    <w:abstractNumId w:val="12"/>
  </w:num>
  <w:num w:numId="5">
    <w:abstractNumId w:val="26"/>
  </w:num>
  <w:num w:numId="6">
    <w:abstractNumId w:val="30"/>
  </w:num>
  <w:num w:numId="7">
    <w:abstractNumId w:val="21"/>
  </w:num>
  <w:num w:numId="8">
    <w:abstractNumId w:val="2"/>
  </w:num>
  <w:num w:numId="9">
    <w:abstractNumId w:val="20"/>
  </w:num>
  <w:num w:numId="10">
    <w:abstractNumId w:val="19"/>
  </w:num>
  <w:num w:numId="11">
    <w:abstractNumId w:val="9"/>
  </w:num>
  <w:num w:numId="12">
    <w:abstractNumId w:val="29"/>
  </w:num>
  <w:num w:numId="13">
    <w:abstractNumId w:val="6"/>
  </w:num>
  <w:num w:numId="14">
    <w:abstractNumId w:val="27"/>
  </w:num>
  <w:num w:numId="15">
    <w:abstractNumId w:val="3"/>
  </w:num>
  <w:num w:numId="16">
    <w:abstractNumId w:val="17"/>
  </w:num>
  <w:num w:numId="17">
    <w:abstractNumId w:val="13"/>
  </w:num>
  <w:num w:numId="18">
    <w:abstractNumId w:val="24"/>
  </w:num>
  <w:num w:numId="19">
    <w:abstractNumId w:val="23"/>
  </w:num>
  <w:num w:numId="20">
    <w:abstractNumId w:val="15"/>
  </w:num>
  <w:num w:numId="21">
    <w:abstractNumId w:val="25"/>
  </w:num>
  <w:num w:numId="22">
    <w:abstractNumId w:val="5"/>
  </w:num>
  <w:num w:numId="23">
    <w:abstractNumId w:val="16"/>
  </w:num>
  <w:num w:numId="24">
    <w:abstractNumId w:val="10"/>
  </w:num>
  <w:num w:numId="25">
    <w:abstractNumId w:val="14"/>
  </w:num>
  <w:num w:numId="26">
    <w:abstractNumId w:val="22"/>
  </w:num>
  <w:num w:numId="27">
    <w:abstractNumId w:val="4"/>
  </w:num>
  <w:num w:numId="28">
    <w:abstractNumId w:val="7"/>
  </w:num>
  <w:num w:numId="29">
    <w:abstractNumId w:val="8"/>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5382F"/>
    <w:rsid w:val="000B0D20"/>
    <w:rsid w:val="000C6EFC"/>
    <w:rsid w:val="000D0DE1"/>
    <w:rsid w:val="000F1E16"/>
    <w:rsid w:val="000F6E00"/>
    <w:rsid w:val="0012118F"/>
    <w:rsid w:val="00130BB3"/>
    <w:rsid w:val="001323AC"/>
    <w:rsid w:val="00153261"/>
    <w:rsid w:val="00157133"/>
    <w:rsid w:val="00191DD4"/>
    <w:rsid w:val="001A31D5"/>
    <w:rsid w:val="001A535F"/>
    <w:rsid w:val="001D1D98"/>
    <w:rsid w:val="001E5DD5"/>
    <w:rsid w:val="001E6787"/>
    <w:rsid w:val="001F5B28"/>
    <w:rsid w:val="001F5E92"/>
    <w:rsid w:val="00200ECF"/>
    <w:rsid w:val="0020398F"/>
    <w:rsid w:val="0026668B"/>
    <w:rsid w:val="002733B5"/>
    <w:rsid w:val="00275509"/>
    <w:rsid w:val="002A1506"/>
    <w:rsid w:val="002A5E6A"/>
    <w:rsid w:val="002B19EE"/>
    <w:rsid w:val="002B3A7C"/>
    <w:rsid w:val="002C01C0"/>
    <w:rsid w:val="00354137"/>
    <w:rsid w:val="003A3FD8"/>
    <w:rsid w:val="003B096E"/>
    <w:rsid w:val="003B6CD4"/>
    <w:rsid w:val="003E33D1"/>
    <w:rsid w:val="003E4396"/>
    <w:rsid w:val="004378CB"/>
    <w:rsid w:val="00440F78"/>
    <w:rsid w:val="00503E5A"/>
    <w:rsid w:val="005356EB"/>
    <w:rsid w:val="00560EC8"/>
    <w:rsid w:val="0057192A"/>
    <w:rsid w:val="00584322"/>
    <w:rsid w:val="00584F86"/>
    <w:rsid w:val="005935FE"/>
    <w:rsid w:val="00595DBD"/>
    <w:rsid w:val="005B35B8"/>
    <w:rsid w:val="005F7BF4"/>
    <w:rsid w:val="00620AFB"/>
    <w:rsid w:val="00660F2A"/>
    <w:rsid w:val="00681542"/>
    <w:rsid w:val="00684129"/>
    <w:rsid w:val="0071652F"/>
    <w:rsid w:val="007217C2"/>
    <w:rsid w:val="007244D3"/>
    <w:rsid w:val="00724E57"/>
    <w:rsid w:val="0073629D"/>
    <w:rsid w:val="0075404E"/>
    <w:rsid w:val="007D6E25"/>
    <w:rsid w:val="007E7F34"/>
    <w:rsid w:val="0083624C"/>
    <w:rsid w:val="00877EEC"/>
    <w:rsid w:val="00881166"/>
    <w:rsid w:val="00883A61"/>
    <w:rsid w:val="0089552E"/>
    <w:rsid w:val="008D145A"/>
    <w:rsid w:val="008E2330"/>
    <w:rsid w:val="008F3F2D"/>
    <w:rsid w:val="00905249"/>
    <w:rsid w:val="009157FD"/>
    <w:rsid w:val="0094662B"/>
    <w:rsid w:val="00957F0E"/>
    <w:rsid w:val="0097472C"/>
    <w:rsid w:val="009B0CB4"/>
    <w:rsid w:val="009D154B"/>
    <w:rsid w:val="009E0BE4"/>
    <w:rsid w:val="009E58D5"/>
    <w:rsid w:val="009F4590"/>
    <w:rsid w:val="00A00644"/>
    <w:rsid w:val="00A04F09"/>
    <w:rsid w:val="00A24F23"/>
    <w:rsid w:val="00A34E85"/>
    <w:rsid w:val="00A40DC0"/>
    <w:rsid w:val="00A77086"/>
    <w:rsid w:val="00A90F21"/>
    <w:rsid w:val="00AD2268"/>
    <w:rsid w:val="00B05438"/>
    <w:rsid w:val="00B36063"/>
    <w:rsid w:val="00B617F1"/>
    <w:rsid w:val="00B74572"/>
    <w:rsid w:val="00B7607C"/>
    <w:rsid w:val="00B96935"/>
    <w:rsid w:val="00C01F07"/>
    <w:rsid w:val="00C12CFF"/>
    <w:rsid w:val="00C1635D"/>
    <w:rsid w:val="00C61994"/>
    <w:rsid w:val="00C64B86"/>
    <w:rsid w:val="00C96458"/>
    <w:rsid w:val="00CA3849"/>
    <w:rsid w:val="00CA3D64"/>
    <w:rsid w:val="00CA544B"/>
    <w:rsid w:val="00CA5645"/>
    <w:rsid w:val="00CA73E8"/>
    <w:rsid w:val="00CC4ADF"/>
    <w:rsid w:val="00D07749"/>
    <w:rsid w:val="00D61667"/>
    <w:rsid w:val="00D70E8F"/>
    <w:rsid w:val="00DC4590"/>
    <w:rsid w:val="00DE1C1F"/>
    <w:rsid w:val="00E10A35"/>
    <w:rsid w:val="00E953A2"/>
    <w:rsid w:val="00EB02BA"/>
    <w:rsid w:val="00EB3F7D"/>
    <w:rsid w:val="00F13F1B"/>
    <w:rsid w:val="00F206D6"/>
    <w:rsid w:val="00F57B75"/>
    <w:rsid w:val="00F84B63"/>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2015-06-12T10:04:00Z</cp:lastPrinted>
  <dcterms:created xsi:type="dcterms:W3CDTF">2015-06-12T14:25:00Z</dcterms:created>
  <dcterms:modified xsi:type="dcterms:W3CDTF">2015-06-12T14:25:00Z</dcterms:modified>
</cp:coreProperties>
</file>