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Pr="00ED01E0" w:rsidRDefault="00E953A2" w:rsidP="003040F9">
      <w:pPr>
        <w:bidi/>
        <w:rPr>
          <w:rFonts w:ascii="Arial" w:hAnsi="Arial" w:cs="Arial"/>
          <w:sz w:val="24"/>
          <w:szCs w:val="24"/>
        </w:rPr>
      </w:pPr>
    </w:p>
    <w:p w14:paraId="25DF3196" w14:textId="77777777" w:rsidR="00FA10AA" w:rsidRPr="00FA10AA" w:rsidRDefault="00FA10AA" w:rsidP="00FA10AA">
      <w:pPr>
        <w:bidi/>
        <w:spacing w:before="100" w:beforeAutospacing="1" w:after="0"/>
        <w:ind w:left="283"/>
        <w:jc w:val="both"/>
        <w:rPr>
          <w:rFonts w:ascii="Arial" w:eastAsia="Calibri" w:hAnsi="Arial" w:cs="Arial" w:hint="cs"/>
          <w:b/>
          <w:bCs/>
          <w:color w:val="000000"/>
          <w:sz w:val="24"/>
          <w:szCs w:val="24"/>
          <w:shd w:val="clear" w:color="auto" w:fill="FFFFFF"/>
          <w:rtl/>
          <w:lang w:eastAsia="en-US"/>
        </w:rPr>
      </w:pPr>
      <w:r w:rsidRPr="00FA10AA">
        <w:rPr>
          <w:rFonts w:ascii="Arial" w:eastAsia="Calibri" w:hAnsi="Arial" w:cs="Arial" w:hint="cs"/>
          <w:b/>
          <w:bCs/>
          <w:color w:val="000000"/>
          <w:sz w:val="24"/>
          <w:szCs w:val="24"/>
          <w:shd w:val="clear" w:color="auto" w:fill="FFFFFF"/>
          <w:rtl/>
          <w:lang w:eastAsia="en-US" w:bidi="ar-TN"/>
        </w:rPr>
        <w:t>أ</w:t>
      </w:r>
      <w:r w:rsidRPr="00FA10AA">
        <w:rPr>
          <w:rFonts w:ascii="Arial" w:eastAsia="Calibri" w:hAnsi="Arial" w:cs="Arial"/>
          <w:b/>
          <w:bCs/>
          <w:color w:val="000000"/>
          <w:sz w:val="24"/>
          <w:szCs w:val="24"/>
          <w:shd w:val="clear" w:color="auto" w:fill="FFFFFF"/>
          <w:rtl/>
          <w:lang w:eastAsia="en-US"/>
        </w:rPr>
        <w:t>مر عدد 3110 لسنة 2013 مؤرخ في 26 جويلية 2013 يتعلق بضبط نظام تأجير رئيس وأعضاء مجلس الهيئة العليا المستقلة للاتصال السمعي والبصري</w:t>
      </w:r>
    </w:p>
    <w:p w14:paraId="7E7E05AE"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rPr>
      </w:pPr>
      <w:r w:rsidRPr="00FA10AA">
        <w:rPr>
          <w:rFonts w:ascii="Arial" w:eastAsia="Calibri" w:hAnsi="Arial" w:cs="Arial"/>
          <w:color w:val="000000"/>
          <w:shd w:val="clear" w:color="auto" w:fill="FFFFFF"/>
          <w:rtl/>
          <w:lang w:eastAsia="en-US"/>
        </w:rPr>
        <w:t>إن رئيس الحكومة،</w:t>
      </w:r>
    </w:p>
    <w:p w14:paraId="43ACDB46"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rPr>
      </w:pPr>
      <w:r w:rsidRPr="00FA10AA">
        <w:rPr>
          <w:rFonts w:ascii="Arial" w:eastAsia="Calibri" w:hAnsi="Arial" w:cs="Arial"/>
          <w:color w:val="000000"/>
          <w:shd w:val="clear" w:color="auto" w:fill="FFFFFF"/>
          <w:rtl/>
          <w:lang w:eastAsia="en-US"/>
        </w:rPr>
        <w:t>بعد الاطلاع على القانون التأسيسي عدد 6 لسنة 2011 المؤرخ في 16 ديسمبر 2011 المتعلق بالتنظيم المؤقت للسلط العمومية،</w:t>
      </w:r>
    </w:p>
    <w:p w14:paraId="5964D808"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rPr>
      </w:pPr>
      <w:r w:rsidRPr="00FA10AA">
        <w:rPr>
          <w:rFonts w:ascii="Arial" w:eastAsia="Calibri" w:hAnsi="Arial" w:cs="Arial"/>
          <w:color w:val="000000"/>
          <w:shd w:val="clear" w:color="auto" w:fill="FFFFFF"/>
          <w:rtl/>
          <w:lang w:eastAsia="en-US"/>
        </w:rPr>
        <w:t>وعلى القانون عدد 30 لسنة 1960 المؤرخ في 14 ديسمبر 1960 والمتعلق بتنظيم أنظمة الضمان الاجتماعي وعلى جميع النصوص التي نقحته أو تممته،</w:t>
      </w:r>
    </w:p>
    <w:p w14:paraId="0CC08F50"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rPr>
      </w:pPr>
      <w:r w:rsidRPr="00FA10AA">
        <w:rPr>
          <w:rFonts w:ascii="Arial" w:eastAsia="Calibri" w:hAnsi="Arial" w:cs="Arial"/>
          <w:color w:val="000000"/>
          <w:shd w:val="clear" w:color="auto" w:fill="FFFFFF"/>
          <w:rtl/>
          <w:lang w:eastAsia="en-US"/>
        </w:rPr>
        <w:t>وعلى مجلة الشغل الصادرة بمقتضى القانون عدد 27 لسنة 1966 المؤرخ في 30 أفريل 1966 وعلى جميع النصوص التي نقحتها أو تممتها وخاصة المرسوم عدد 115 لسنة 2011 المؤرخ في 2 نوفمبر 2011 المتعلق بحرية الصحافة والطباعة والنشر،</w:t>
      </w:r>
    </w:p>
    <w:p w14:paraId="5246B2D3"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rPr>
      </w:pPr>
      <w:r w:rsidRPr="00FA10AA">
        <w:rPr>
          <w:rFonts w:ascii="Arial" w:eastAsia="Calibri" w:hAnsi="Arial" w:cs="Arial"/>
          <w:color w:val="000000"/>
          <w:shd w:val="clear" w:color="auto" w:fill="FFFFFF"/>
          <w:rtl/>
          <w:lang w:eastAsia="en-US"/>
        </w:rPr>
        <w:t>وعلى القانون عدد 29 لسنة 1967 المؤرخ في 14 جويلية 1967 والمتعلق بنظام القضاء والمجلس الأعلى للقضاء والقانون الأساسي للقضاة وعلى جميع النصوص التي نقحته وتممته،</w:t>
      </w:r>
    </w:p>
    <w:p w14:paraId="7D471C6B"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rPr>
      </w:pPr>
      <w:r w:rsidRPr="00FA10AA">
        <w:rPr>
          <w:rFonts w:ascii="Arial" w:eastAsia="Calibri" w:hAnsi="Arial" w:cs="Arial"/>
          <w:color w:val="000000"/>
          <w:shd w:val="clear" w:color="auto" w:fill="FFFFFF"/>
          <w:rtl/>
          <w:lang w:eastAsia="en-US"/>
        </w:rPr>
        <w:t>وعلى القانون عدد 67 لسنة 1972 المؤرخ في أول أوت 1972 المتعلق بتسيير المحكمة الإدارية وضبط القانون الأساسي لأعضائها وعلى جميع النصوص التي نقحته أو تممته وخاصة القانون الأساسي عدد 78 لسنة 2001 المؤرخ في 24 جويلية 2001،</w:t>
      </w:r>
    </w:p>
    <w:p w14:paraId="2C1A37EC"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rPr>
      </w:pPr>
      <w:r w:rsidRPr="00FA10AA">
        <w:rPr>
          <w:rFonts w:ascii="Arial" w:eastAsia="Calibri" w:hAnsi="Arial" w:cs="Arial"/>
          <w:color w:val="000000"/>
          <w:shd w:val="clear" w:color="auto" w:fill="FFFFFF"/>
          <w:rtl/>
          <w:lang w:eastAsia="en-US"/>
        </w:rPr>
        <w:t>وعلى مجلة المحاسبة العمومية الصادرة بمقتضى القانون عدد 81 لسنة 1973 المؤرخ في 31 ديسمبر 1973 وعلى جميع النصوص التي نقحته أو تممته،</w:t>
      </w:r>
    </w:p>
    <w:p w14:paraId="04E026BD"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rPr>
      </w:pPr>
      <w:r w:rsidRPr="00FA10AA">
        <w:rPr>
          <w:rFonts w:ascii="Arial" w:eastAsia="Calibri" w:hAnsi="Arial" w:cs="Arial"/>
          <w:color w:val="000000"/>
          <w:shd w:val="clear" w:color="auto" w:fill="FFFFFF"/>
          <w:rtl/>
          <w:lang w:eastAsia="en-US"/>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المرسوم عدد 89 لسنة 2011 المؤرخ في 23 سبتمبر 2011،</w:t>
      </w:r>
    </w:p>
    <w:p w14:paraId="263AD782"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rPr>
      </w:pPr>
      <w:r w:rsidRPr="00FA10AA">
        <w:rPr>
          <w:rFonts w:ascii="Arial" w:eastAsia="Calibri" w:hAnsi="Arial" w:cs="Arial"/>
          <w:color w:val="000000"/>
          <w:shd w:val="clear" w:color="auto" w:fill="FFFFFF"/>
          <w:rtl/>
          <w:lang w:eastAsia="en-US"/>
        </w:rPr>
        <w:t>وعلى القانون عدد 12 لسنة 1985 المؤرخ في 5 مارس 1985 والمتعلق بنظام الجرايات المدنية والعسكرية للتقاعد وللباقين على قيد الحياة في القطاع العمومي وعلى جميع النصوص التي نقحته أو تممته وخاصة القانون عدد 71 لسنة 1988 المؤرخ في 27 جوان 1988،</w:t>
      </w:r>
    </w:p>
    <w:p w14:paraId="3A6A6E91"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rPr>
      </w:pPr>
      <w:r w:rsidRPr="00FA10AA">
        <w:rPr>
          <w:rFonts w:ascii="Arial" w:eastAsia="Calibri" w:hAnsi="Arial" w:cs="Arial"/>
          <w:color w:val="000000"/>
          <w:shd w:val="clear" w:color="auto" w:fill="FFFFFF"/>
          <w:rtl/>
          <w:lang w:eastAsia="en-US"/>
        </w:rPr>
        <w:t>وعلى القانون عدد 78 لسنة 1985 المؤرخ في 5 أوت 1985 والمتعلق بضبط النظام الأساسي العام لأعوان الدواوين والمؤسسات العمومية ذات الصبغة الصناعية والتجارية والشركات التي تمتلك الدولة والجماعات العمومية المحلية رأس مالها بصفة مباشرة أو كليا،</w:t>
      </w:r>
    </w:p>
    <w:p w14:paraId="20209070"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rPr>
      </w:pPr>
      <w:r w:rsidRPr="00FA10AA">
        <w:rPr>
          <w:rFonts w:ascii="Arial" w:eastAsia="Calibri" w:hAnsi="Arial" w:cs="Arial"/>
          <w:color w:val="000000"/>
          <w:shd w:val="clear" w:color="auto" w:fill="FFFFFF"/>
          <w:rtl/>
          <w:lang w:eastAsia="en-US"/>
        </w:rPr>
        <w:t>وعلى مجلة الضريبة على دخل الأشخاص الطبيعيين والضريبة على الشركات الصادرة بمقتضى القانون عدد 114 لسنة 1989 المؤرخ في 30 ديسمبر 1989 وعلى جميع النصوص التي نقحته وتممته،</w:t>
      </w:r>
    </w:p>
    <w:p w14:paraId="1C51D169"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rPr>
      </w:pPr>
      <w:r w:rsidRPr="00FA10AA">
        <w:rPr>
          <w:rFonts w:ascii="Arial" w:eastAsia="Calibri" w:hAnsi="Arial" w:cs="Arial"/>
          <w:color w:val="000000"/>
          <w:shd w:val="clear" w:color="auto" w:fill="FFFFFF"/>
          <w:rtl/>
          <w:lang w:eastAsia="en-US"/>
        </w:rPr>
        <w:t>وعلى القانون عدد 33 لسنة 2007 المؤرخ في 4 جوان 2007 والمتعلق بالمؤسسات العمومية للقطاع السمعي والبصري،</w:t>
      </w:r>
    </w:p>
    <w:p w14:paraId="09DB6FE1"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rPr>
      </w:pPr>
      <w:r w:rsidRPr="00FA10AA">
        <w:rPr>
          <w:rFonts w:ascii="Arial" w:eastAsia="Calibri" w:hAnsi="Arial" w:cs="Arial"/>
          <w:color w:val="000000"/>
          <w:shd w:val="clear" w:color="auto" w:fill="FFFFFF"/>
          <w:rtl/>
          <w:lang w:eastAsia="en-US"/>
        </w:rPr>
        <w:t>وعلى المرسوم عدد 116 لسنة 2011 المؤرخ في 2 نوفمبر 2011 المتعلق بحرية الاتصال السمعي والبصري وبإحداث هيئة عليا مستقلة للاتصال السمعي والبصري وخاصة الفصل 14 منه،</w:t>
      </w:r>
    </w:p>
    <w:p w14:paraId="425FD032"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rPr>
      </w:pPr>
      <w:r w:rsidRPr="00FA10AA">
        <w:rPr>
          <w:rFonts w:ascii="Arial" w:eastAsia="Calibri" w:hAnsi="Arial" w:cs="Arial"/>
          <w:color w:val="000000"/>
          <w:shd w:val="clear" w:color="auto" w:fill="FFFFFF"/>
          <w:rtl/>
          <w:lang w:eastAsia="en-US"/>
        </w:rPr>
        <w:t>وعلى القرار الجمهوري عدد 43 لسنة 2013 المؤرخ في 14 مارس 2013 المتعلق بتعيين السيد علي لعريض رئيسا للحكومة،</w:t>
      </w:r>
    </w:p>
    <w:p w14:paraId="70C2F69D"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rPr>
      </w:pPr>
      <w:r w:rsidRPr="00FA10AA">
        <w:rPr>
          <w:rFonts w:ascii="Arial" w:eastAsia="Calibri" w:hAnsi="Arial" w:cs="Arial"/>
          <w:color w:val="000000"/>
          <w:shd w:val="clear" w:color="auto" w:fill="FFFFFF"/>
          <w:rtl/>
          <w:lang w:eastAsia="en-US"/>
        </w:rPr>
        <w:t>وعلى رأي وزير المالية،</w:t>
      </w:r>
    </w:p>
    <w:p w14:paraId="027BC6D2"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rPr>
      </w:pPr>
      <w:r w:rsidRPr="00FA10AA">
        <w:rPr>
          <w:rFonts w:ascii="Arial" w:eastAsia="Calibri" w:hAnsi="Arial" w:cs="Arial"/>
          <w:color w:val="000000"/>
          <w:shd w:val="clear" w:color="auto" w:fill="FFFFFF"/>
          <w:rtl/>
          <w:lang w:eastAsia="en-US"/>
        </w:rPr>
        <w:t>وعلى رأي المحكمة الإدارية،</w:t>
      </w:r>
    </w:p>
    <w:p w14:paraId="61871B69"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rPr>
      </w:pPr>
      <w:r w:rsidRPr="00FA10AA">
        <w:rPr>
          <w:rFonts w:ascii="Arial" w:eastAsia="Calibri" w:hAnsi="Arial" w:cs="Arial"/>
          <w:color w:val="000000"/>
          <w:shd w:val="clear" w:color="auto" w:fill="FFFFFF"/>
          <w:rtl/>
          <w:lang w:eastAsia="en-US"/>
        </w:rPr>
        <w:lastRenderedPageBreak/>
        <w:t>وعلى مداولة مجلس الوزراء وبعد إعلام رئيس الجمهورية</w:t>
      </w:r>
      <w:r w:rsidRPr="00FA10AA">
        <w:rPr>
          <w:rFonts w:ascii="Arial" w:eastAsia="Calibri" w:hAnsi="Arial" w:cs="Arial"/>
          <w:color w:val="000000"/>
          <w:shd w:val="clear" w:color="auto" w:fill="FFFFFF"/>
          <w:lang w:eastAsia="en-US"/>
        </w:rPr>
        <w:t>.</w:t>
      </w:r>
    </w:p>
    <w:p w14:paraId="17338309"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rPr>
      </w:pPr>
      <w:r w:rsidRPr="00FA10AA">
        <w:rPr>
          <w:rFonts w:ascii="Arial" w:eastAsia="Calibri" w:hAnsi="Arial" w:cs="Arial"/>
          <w:color w:val="000000"/>
          <w:shd w:val="clear" w:color="auto" w:fill="FFFFFF"/>
          <w:rtl/>
          <w:lang w:eastAsia="en-US"/>
        </w:rPr>
        <w:t>يصدر الأمر الآتي نصه</w:t>
      </w:r>
      <w:r w:rsidRPr="00FA10AA">
        <w:rPr>
          <w:rFonts w:ascii="Arial" w:eastAsia="Calibri" w:hAnsi="Arial" w:cs="Arial" w:hint="cs"/>
          <w:color w:val="000000"/>
          <w:shd w:val="clear" w:color="auto" w:fill="FFFFFF"/>
          <w:rtl/>
          <w:lang w:eastAsia="en-US"/>
        </w:rPr>
        <w:t>:</w:t>
      </w:r>
    </w:p>
    <w:p w14:paraId="2E36AC5D"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rPr>
      </w:pPr>
      <w:r w:rsidRPr="00FA10AA">
        <w:rPr>
          <w:rFonts w:ascii="Arial" w:eastAsia="Calibri" w:hAnsi="Arial" w:cs="Arial"/>
          <w:b/>
          <w:bCs/>
          <w:color w:val="000000"/>
          <w:shd w:val="clear" w:color="auto" w:fill="FFFFFF"/>
          <w:rtl/>
          <w:lang w:eastAsia="en-US"/>
        </w:rPr>
        <w:t>الفصل الأول</w:t>
      </w:r>
      <w:r w:rsidRPr="00FA10AA">
        <w:rPr>
          <w:rFonts w:ascii="Arial" w:eastAsia="Calibri" w:hAnsi="Arial" w:cs="Arial" w:hint="cs"/>
          <w:b/>
          <w:bCs/>
          <w:color w:val="000000"/>
          <w:shd w:val="clear" w:color="auto" w:fill="FFFFFF"/>
          <w:rtl/>
          <w:lang w:eastAsia="en-US"/>
        </w:rPr>
        <w:t xml:space="preserve"> </w:t>
      </w:r>
      <w:r w:rsidRPr="00FA10AA">
        <w:rPr>
          <w:rFonts w:ascii="Arial" w:eastAsia="Calibri" w:hAnsi="Arial" w:cs="Arial"/>
          <w:b/>
          <w:bCs/>
          <w:color w:val="000000"/>
          <w:shd w:val="clear" w:color="auto" w:fill="FFFFFF"/>
          <w:rtl/>
          <w:lang w:eastAsia="en-US"/>
        </w:rPr>
        <w:t>–</w:t>
      </w:r>
      <w:r w:rsidRPr="00FA10AA">
        <w:rPr>
          <w:rFonts w:ascii="Arial" w:eastAsia="Calibri" w:hAnsi="Arial" w:cs="Arial" w:hint="cs"/>
          <w:color w:val="000000"/>
          <w:shd w:val="clear" w:color="auto" w:fill="FFFFFF"/>
          <w:rtl/>
          <w:lang w:eastAsia="en-US"/>
        </w:rPr>
        <w:t xml:space="preserve"> </w:t>
      </w:r>
      <w:r w:rsidRPr="00FA10AA">
        <w:rPr>
          <w:rFonts w:ascii="Arial" w:eastAsia="Calibri" w:hAnsi="Arial" w:cs="Arial"/>
          <w:color w:val="000000"/>
          <w:shd w:val="clear" w:color="auto" w:fill="FFFFFF"/>
          <w:rtl/>
          <w:lang w:eastAsia="en-US"/>
        </w:rPr>
        <w:t>يضبط هذا الأمر المنح والامتيازات المخولة لرئيس مجلس الهيئة المسيرة للهيئة العليا المستقلة للاتصال السمعي والبصري وأعضائها المنصوص عليها بالفصل 7 من المرسوم عدد 116 لسنة 2011 المؤرخ في 2 نوفمبر 2011 المشار إليه أعلاه</w:t>
      </w:r>
      <w:r w:rsidRPr="00FA10AA">
        <w:rPr>
          <w:rFonts w:ascii="Arial" w:eastAsia="Calibri" w:hAnsi="Arial" w:cs="Arial"/>
          <w:color w:val="000000"/>
          <w:shd w:val="clear" w:color="auto" w:fill="FFFFFF"/>
          <w:lang w:eastAsia="en-US"/>
        </w:rPr>
        <w:t>.</w:t>
      </w:r>
    </w:p>
    <w:p w14:paraId="027F3931"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bidi="ar-TN"/>
        </w:rPr>
      </w:pPr>
      <w:r w:rsidRPr="00FA10AA">
        <w:rPr>
          <w:rFonts w:ascii="Arial" w:eastAsia="Calibri" w:hAnsi="Arial" w:cs="Arial"/>
          <w:b/>
          <w:bCs/>
          <w:color w:val="000000"/>
          <w:shd w:val="clear" w:color="auto" w:fill="FFFFFF"/>
          <w:rtl/>
          <w:lang w:eastAsia="en-US"/>
        </w:rPr>
        <w:t>الفصل 2</w:t>
      </w:r>
      <w:r w:rsidRPr="00FA10AA">
        <w:rPr>
          <w:rFonts w:ascii="Arial" w:eastAsia="Calibri" w:hAnsi="Arial" w:cs="Arial" w:hint="cs"/>
          <w:b/>
          <w:bCs/>
          <w:color w:val="000000"/>
          <w:shd w:val="clear" w:color="auto" w:fill="FFFFFF"/>
          <w:rtl/>
          <w:lang w:eastAsia="en-US"/>
        </w:rPr>
        <w:t xml:space="preserve"> </w:t>
      </w:r>
      <w:r w:rsidRPr="00FA10AA">
        <w:rPr>
          <w:rFonts w:ascii="Arial" w:eastAsia="Calibri" w:hAnsi="Arial" w:cs="Arial"/>
          <w:b/>
          <w:bCs/>
          <w:color w:val="000000"/>
          <w:shd w:val="clear" w:color="auto" w:fill="FFFFFF"/>
          <w:rtl/>
          <w:lang w:eastAsia="en-US"/>
        </w:rPr>
        <w:t>–</w:t>
      </w:r>
      <w:r w:rsidRPr="00FA10AA">
        <w:rPr>
          <w:rFonts w:ascii="Arial" w:eastAsia="Calibri" w:hAnsi="Arial" w:cs="Arial"/>
          <w:color w:val="000000"/>
          <w:shd w:val="clear" w:color="auto" w:fill="FFFFFF"/>
          <w:rtl/>
          <w:lang w:eastAsia="en-US"/>
        </w:rPr>
        <w:t xml:space="preserve"> يباشر رئيس الهيئة وأعضاؤها مهامهم وجوبا كامل الوقت وتسند لهم شهريا لقاء ذلك المنح والامتيازات المحددة بالجدول التالي</w:t>
      </w:r>
      <w:r w:rsidRPr="00FA10AA">
        <w:rPr>
          <w:rFonts w:ascii="Arial" w:eastAsia="Calibri" w:hAnsi="Arial" w:cs="Arial"/>
          <w:color w:val="000000"/>
          <w:shd w:val="clear" w:color="auto" w:fill="FFFFFF"/>
          <w:lang w:eastAsia="en-US"/>
        </w:rPr>
        <w:t xml:space="preserve"> :</w:t>
      </w:r>
    </w:p>
    <w:tbl>
      <w:tblPr>
        <w:tblStyle w:val="Grilledutableau3"/>
        <w:bidiVisual/>
        <w:tblW w:w="0" w:type="auto"/>
        <w:tblInd w:w="391" w:type="dxa"/>
        <w:tblLook w:val="04A0" w:firstRow="1" w:lastRow="0" w:firstColumn="1" w:lastColumn="0" w:noHBand="0" w:noVBand="1"/>
      </w:tblPr>
      <w:tblGrid>
        <w:gridCol w:w="2679"/>
        <w:gridCol w:w="3071"/>
        <w:gridCol w:w="3605"/>
      </w:tblGrid>
      <w:tr w:rsidR="00FA10AA" w:rsidRPr="00FA10AA" w14:paraId="1A66575E" w14:textId="77777777" w:rsidTr="00453C8D">
        <w:tc>
          <w:tcPr>
            <w:tcW w:w="2679" w:type="dxa"/>
            <w:vAlign w:val="center"/>
          </w:tcPr>
          <w:p w14:paraId="65C1B243" w14:textId="77777777" w:rsidR="00FA10AA" w:rsidRPr="00FA10AA" w:rsidRDefault="00FA10AA" w:rsidP="00FA10AA">
            <w:pPr>
              <w:bidi/>
              <w:spacing w:after="0" w:line="240" w:lineRule="auto"/>
              <w:ind w:left="283"/>
              <w:jc w:val="center"/>
              <w:rPr>
                <w:rFonts w:ascii="Arial" w:hAnsi="Arial" w:cs="Arial"/>
                <w:b/>
                <w:bCs/>
                <w:color w:val="000000"/>
                <w:rtl/>
                <w:lang w:eastAsia="en-US"/>
              </w:rPr>
            </w:pPr>
            <w:r w:rsidRPr="00FA10AA">
              <w:rPr>
                <w:rFonts w:ascii="Arial" w:hAnsi="Arial" w:cs="Arial" w:hint="cs"/>
                <w:b/>
                <w:bCs/>
                <w:color w:val="000000"/>
                <w:rtl/>
                <w:lang w:eastAsia="en-US"/>
              </w:rPr>
              <w:t>الصفة</w:t>
            </w:r>
          </w:p>
        </w:tc>
        <w:tc>
          <w:tcPr>
            <w:tcW w:w="3071" w:type="dxa"/>
            <w:vAlign w:val="center"/>
          </w:tcPr>
          <w:p w14:paraId="52E0ADA6" w14:textId="77777777" w:rsidR="00FA10AA" w:rsidRPr="00FA10AA" w:rsidRDefault="00FA10AA" w:rsidP="00FA10AA">
            <w:pPr>
              <w:bidi/>
              <w:spacing w:after="0" w:line="240" w:lineRule="auto"/>
              <w:ind w:left="283"/>
              <w:jc w:val="center"/>
              <w:rPr>
                <w:rFonts w:ascii="Arial" w:hAnsi="Arial" w:cs="Arial"/>
                <w:b/>
                <w:bCs/>
                <w:color w:val="000000"/>
                <w:rtl/>
                <w:lang w:eastAsia="en-US"/>
              </w:rPr>
            </w:pPr>
            <w:r w:rsidRPr="00FA10AA">
              <w:rPr>
                <w:rFonts w:ascii="Arial" w:hAnsi="Arial" w:cs="Arial" w:hint="cs"/>
                <w:b/>
                <w:bCs/>
                <w:color w:val="000000"/>
                <w:rtl/>
                <w:lang w:eastAsia="en-US"/>
              </w:rPr>
              <w:t>مقدار المنحة الصافي</w:t>
            </w:r>
          </w:p>
        </w:tc>
        <w:tc>
          <w:tcPr>
            <w:tcW w:w="3605" w:type="dxa"/>
            <w:vAlign w:val="center"/>
          </w:tcPr>
          <w:p w14:paraId="1072AD12" w14:textId="77777777" w:rsidR="00FA10AA" w:rsidRPr="00FA10AA" w:rsidRDefault="00FA10AA" w:rsidP="00FA10AA">
            <w:pPr>
              <w:bidi/>
              <w:spacing w:after="0" w:line="240" w:lineRule="auto"/>
              <w:ind w:left="283"/>
              <w:jc w:val="center"/>
              <w:rPr>
                <w:rFonts w:ascii="Arial" w:hAnsi="Arial" w:cs="Arial"/>
                <w:b/>
                <w:bCs/>
                <w:color w:val="000000"/>
                <w:rtl/>
                <w:lang w:eastAsia="en-US"/>
              </w:rPr>
            </w:pPr>
            <w:r w:rsidRPr="00FA10AA">
              <w:rPr>
                <w:rFonts w:ascii="Arial" w:hAnsi="Arial" w:cs="Arial" w:hint="cs"/>
                <w:b/>
                <w:bCs/>
                <w:color w:val="000000"/>
                <w:rtl/>
                <w:lang w:eastAsia="en-US"/>
              </w:rPr>
              <w:t>الامتيازات العينية</w:t>
            </w:r>
          </w:p>
        </w:tc>
      </w:tr>
      <w:tr w:rsidR="00FA10AA" w:rsidRPr="00FA10AA" w14:paraId="7DD9C7E2" w14:textId="77777777" w:rsidTr="00453C8D">
        <w:tc>
          <w:tcPr>
            <w:tcW w:w="2679" w:type="dxa"/>
          </w:tcPr>
          <w:p w14:paraId="63328418" w14:textId="77777777" w:rsidR="00FA10AA" w:rsidRPr="00FA10AA" w:rsidRDefault="00FA10AA" w:rsidP="00FA10AA">
            <w:pPr>
              <w:bidi/>
              <w:spacing w:after="0" w:line="240" w:lineRule="auto"/>
              <w:ind w:left="283"/>
              <w:rPr>
                <w:rFonts w:ascii="Arial" w:hAnsi="Arial" w:cs="Arial"/>
                <w:color w:val="000000"/>
                <w:rtl/>
                <w:lang w:eastAsia="en-US"/>
              </w:rPr>
            </w:pPr>
            <w:r w:rsidRPr="00FA10AA">
              <w:rPr>
                <w:rFonts w:ascii="Arial" w:hAnsi="Arial" w:cs="Arial" w:hint="cs"/>
                <w:color w:val="000000"/>
                <w:rtl/>
                <w:lang w:eastAsia="en-US"/>
              </w:rPr>
              <w:t>رئيس الهيئة</w:t>
            </w:r>
          </w:p>
        </w:tc>
        <w:tc>
          <w:tcPr>
            <w:tcW w:w="3071" w:type="dxa"/>
            <w:vAlign w:val="center"/>
          </w:tcPr>
          <w:p w14:paraId="2402697B" w14:textId="77777777" w:rsidR="00FA10AA" w:rsidRPr="00FA10AA" w:rsidRDefault="00FA10AA" w:rsidP="00FA10AA">
            <w:pPr>
              <w:bidi/>
              <w:spacing w:after="0" w:line="240" w:lineRule="auto"/>
              <w:ind w:left="283"/>
              <w:jc w:val="center"/>
              <w:rPr>
                <w:rFonts w:ascii="Arial" w:hAnsi="Arial" w:cs="Arial"/>
                <w:color w:val="000000"/>
                <w:rtl/>
                <w:lang w:eastAsia="en-US"/>
              </w:rPr>
            </w:pPr>
            <w:r w:rsidRPr="00FA10AA">
              <w:rPr>
                <w:rFonts w:ascii="Arial" w:hAnsi="Arial" w:cs="Arial" w:hint="cs"/>
                <w:color w:val="000000"/>
                <w:rtl/>
                <w:lang w:eastAsia="en-US"/>
              </w:rPr>
              <w:t>3500 دينار</w:t>
            </w:r>
          </w:p>
        </w:tc>
        <w:tc>
          <w:tcPr>
            <w:tcW w:w="3605" w:type="dxa"/>
          </w:tcPr>
          <w:p w14:paraId="0B956895" w14:textId="77777777" w:rsidR="00FA10AA" w:rsidRPr="00FA10AA" w:rsidRDefault="00FA10AA" w:rsidP="00FA10AA">
            <w:pPr>
              <w:bidi/>
              <w:spacing w:after="0" w:line="240" w:lineRule="auto"/>
              <w:ind w:left="283"/>
              <w:rPr>
                <w:rFonts w:ascii="Arial" w:hAnsi="Arial" w:cs="Arial"/>
                <w:color w:val="000000"/>
                <w:rtl/>
                <w:lang w:eastAsia="en-US"/>
              </w:rPr>
            </w:pPr>
            <w:r w:rsidRPr="00FA10AA">
              <w:rPr>
                <w:rFonts w:ascii="Arial" w:hAnsi="Arial" w:cs="Arial" w:hint="cs"/>
                <w:color w:val="000000"/>
                <w:rtl/>
                <w:lang w:eastAsia="en-US"/>
              </w:rPr>
              <w:t>سيارة وظيفية و500 لتر وقود</w:t>
            </w:r>
          </w:p>
        </w:tc>
      </w:tr>
      <w:tr w:rsidR="00FA10AA" w:rsidRPr="00FA10AA" w14:paraId="0E1DEC21" w14:textId="77777777" w:rsidTr="00453C8D">
        <w:tc>
          <w:tcPr>
            <w:tcW w:w="2679" w:type="dxa"/>
          </w:tcPr>
          <w:p w14:paraId="26D62C4E" w14:textId="77777777" w:rsidR="00FA10AA" w:rsidRPr="00FA10AA" w:rsidRDefault="00FA10AA" w:rsidP="00FA10AA">
            <w:pPr>
              <w:bidi/>
              <w:spacing w:after="0" w:line="240" w:lineRule="auto"/>
              <w:ind w:left="283"/>
              <w:rPr>
                <w:rFonts w:ascii="Arial" w:hAnsi="Arial" w:cs="Arial"/>
                <w:color w:val="000000"/>
                <w:rtl/>
                <w:lang w:eastAsia="en-US"/>
              </w:rPr>
            </w:pPr>
            <w:r w:rsidRPr="00FA10AA">
              <w:rPr>
                <w:rFonts w:ascii="Arial" w:hAnsi="Arial" w:cs="Arial" w:hint="cs"/>
                <w:color w:val="000000"/>
                <w:rtl/>
                <w:lang w:eastAsia="en-US"/>
              </w:rPr>
              <w:t>نائب الرئيس</w:t>
            </w:r>
          </w:p>
        </w:tc>
        <w:tc>
          <w:tcPr>
            <w:tcW w:w="3071" w:type="dxa"/>
            <w:vAlign w:val="center"/>
          </w:tcPr>
          <w:p w14:paraId="016E61EA" w14:textId="77777777" w:rsidR="00FA10AA" w:rsidRPr="00FA10AA" w:rsidRDefault="00FA10AA" w:rsidP="00FA10AA">
            <w:pPr>
              <w:bidi/>
              <w:spacing w:after="0" w:line="240" w:lineRule="auto"/>
              <w:ind w:left="283"/>
              <w:jc w:val="center"/>
              <w:rPr>
                <w:rFonts w:ascii="Arial" w:hAnsi="Arial" w:cs="Arial"/>
                <w:color w:val="000000"/>
                <w:rtl/>
                <w:lang w:eastAsia="en-US"/>
              </w:rPr>
            </w:pPr>
            <w:r w:rsidRPr="00FA10AA">
              <w:rPr>
                <w:rFonts w:ascii="Arial" w:hAnsi="Arial" w:cs="Arial" w:hint="cs"/>
                <w:color w:val="000000"/>
                <w:rtl/>
                <w:lang w:eastAsia="en-US"/>
              </w:rPr>
              <w:t>3400 دينار</w:t>
            </w:r>
          </w:p>
        </w:tc>
        <w:tc>
          <w:tcPr>
            <w:tcW w:w="3605" w:type="dxa"/>
          </w:tcPr>
          <w:p w14:paraId="02AEFC9E" w14:textId="77777777" w:rsidR="00FA10AA" w:rsidRPr="00FA10AA" w:rsidRDefault="00FA10AA" w:rsidP="00FA10AA">
            <w:pPr>
              <w:bidi/>
              <w:spacing w:after="0" w:line="240" w:lineRule="auto"/>
              <w:ind w:left="283"/>
              <w:rPr>
                <w:rFonts w:ascii="Arial" w:hAnsi="Arial" w:cs="Arial"/>
                <w:color w:val="000000"/>
                <w:rtl/>
                <w:lang w:eastAsia="en-US"/>
              </w:rPr>
            </w:pPr>
            <w:r w:rsidRPr="00FA10AA">
              <w:rPr>
                <w:rFonts w:ascii="Arial" w:hAnsi="Arial" w:cs="Arial" w:hint="cs"/>
                <w:color w:val="000000"/>
                <w:rtl/>
                <w:lang w:eastAsia="en-US"/>
              </w:rPr>
              <w:t>سيارة وظيفية و360 لتر وقود</w:t>
            </w:r>
          </w:p>
        </w:tc>
      </w:tr>
      <w:tr w:rsidR="00FA10AA" w:rsidRPr="00FA10AA" w14:paraId="7699829C" w14:textId="77777777" w:rsidTr="00453C8D">
        <w:tc>
          <w:tcPr>
            <w:tcW w:w="2679" w:type="dxa"/>
          </w:tcPr>
          <w:p w14:paraId="2CF86BD7" w14:textId="77777777" w:rsidR="00FA10AA" w:rsidRPr="00FA10AA" w:rsidRDefault="00FA10AA" w:rsidP="00FA10AA">
            <w:pPr>
              <w:bidi/>
              <w:spacing w:after="0" w:line="240" w:lineRule="auto"/>
              <w:ind w:left="283"/>
              <w:rPr>
                <w:rFonts w:ascii="Arial" w:hAnsi="Arial" w:cs="Arial"/>
                <w:color w:val="000000"/>
                <w:rtl/>
                <w:lang w:eastAsia="en-US"/>
              </w:rPr>
            </w:pPr>
            <w:r w:rsidRPr="00FA10AA">
              <w:rPr>
                <w:rFonts w:ascii="Arial" w:hAnsi="Arial" w:cs="Arial" w:hint="cs"/>
                <w:color w:val="000000"/>
                <w:rtl/>
                <w:lang w:eastAsia="en-US"/>
              </w:rPr>
              <w:t>بقية الأعضاء</w:t>
            </w:r>
          </w:p>
        </w:tc>
        <w:tc>
          <w:tcPr>
            <w:tcW w:w="3071" w:type="dxa"/>
            <w:vAlign w:val="center"/>
          </w:tcPr>
          <w:p w14:paraId="514DEAFD" w14:textId="77777777" w:rsidR="00FA10AA" w:rsidRPr="00FA10AA" w:rsidRDefault="00FA10AA" w:rsidP="00FA10AA">
            <w:pPr>
              <w:bidi/>
              <w:spacing w:after="0" w:line="240" w:lineRule="auto"/>
              <w:ind w:left="283"/>
              <w:jc w:val="center"/>
              <w:rPr>
                <w:rFonts w:ascii="Arial" w:hAnsi="Arial" w:cs="Arial"/>
                <w:color w:val="000000"/>
                <w:rtl/>
                <w:lang w:eastAsia="en-US"/>
              </w:rPr>
            </w:pPr>
            <w:r w:rsidRPr="00FA10AA">
              <w:rPr>
                <w:rFonts w:ascii="Arial" w:hAnsi="Arial" w:cs="Arial" w:hint="cs"/>
                <w:color w:val="000000"/>
                <w:rtl/>
                <w:lang w:eastAsia="en-US"/>
              </w:rPr>
              <w:t>3200 دينار</w:t>
            </w:r>
          </w:p>
        </w:tc>
        <w:tc>
          <w:tcPr>
            <w:tcW w:w="3605" w:type="dxa"/>
          </w:tcPr>
          <w:p w14:paraId="353CBFDE" w14:textId="77777777" w:rsidR="00FA10AA" w:rsidRPr="00FA10AA" w:rsidRDefault="00FA10AA" w:rsidP="00FA10AA">
            <w:pPr>
              <w:bidi/>
              <w:spacing w:after="0" w:line="240" w:lineRule="auto"/>
              <w:ind w:left="283"/>
              <w:rPr>
                <w:rFonts w:ascii="Arial" w:hAnsi="Arial" w:cs="Arial"/>
                <w:color w:val="000000"/>
                <w:rtl/>
                <w:lang w:eastAsia="en-US"/>
              </w:rPr>
            </w:pPr>
            <w:r w:rsidRPr="00FA10AA">
              <w:rPr>
                <w:rFonts w:ascii="Arial" w:hAnsi="Arial" w:cs="Arial" w:hint="cs"/>
                <w:color w:val="000000"/>
                <w:rtl/>
                <w:lang w:eastAsia="en-US"/>
              </w:rPr>
              <w:t>سيارة وظيفية و360 لتر وقود</w:t>
            </w:r>
          </w:p>
        </w:tc>
      </w:tr>
    </w:tbl>
    <w:p w14:paraId="7A348824"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rPr>
      </w:pPr>
      <w:r w:rsidRPr="00FA10AA">
        <w:rPr>
          <w:rFonts w:ascii="Arial" w:eastAsia="Calibri" w:hAnsi="Arial" w:cs="Arial"/>
          <w:b/>
          <w:bCs/>
          <w:color w:val="000000"/>
          <w:shd w:val="clear" w:color="auto" w:fill="FFFFFF"/>
          <w:rtl/>
          <w:lang w:eastAsia="en-US"/>
        </w:rPr>
        <w:t>الفصل 3</w:t>
      </w:r>
      <w:r w:rsidRPr="00FA10AA">
        <w:rPr>
          <w:rFonts w:ascii="Arial" w:eastAsia="Calibri" w:hAnsi="Arial" w:cs="Arial" w:hint="cs"/>
          <w:b/>
          <w:bCs/>
          <w:color w:val="000000"/>
          <w:shd w:val="clear" w:color="auto" w:fill="FFFFFF"/>
          <w:rtl/>
          <w:lang w:eastAsia="en-US"/>
        </w:rPr>
        <w:t xml:space="preserve"> –</w:t>
      </w:r>
      <w:r w:rsidRPr="00FA10AA">
        <w:rPr>
          <w:rFonts w:ascii="Arial" w:eastAsia="Calibri" w:hAnsi="Arial" w:cs="Arial" w:hint="cs"/>
          <w:color w:val="000000"/>
          <w:shd w:val="clear" w:color="auto" w:fill="FFFFFF"/>
          <w:rtl/>
          <w:lang w:eastAsia="en-US"/>
        </w:rPr>
        <w:t xml:space="preserve"> </w:t>
      </w:r>
      <w:r w:rsidRPr="00FA10AA">
        <w:rPr>
          <w:rFonts w:ascii="Arial" w:eastAsia="Calibri" w:hAnsi="Arial" w:cs="Arial"/>
          <w:color w:val="000000"/>
          <w:shd w:val="clear" w:color="auto" w:fill="FFFFFF"/>
          <w:rtl/>
          <w:lang w:eastAsia="en-US"/>
        </w:rPr>
        <w:t>تحمل المنح والامتيازات المخولة لرئيس الهيئة وأعضائها على ميزانية الهيئة</w:t>
      </w:r>
      <w:r w:rsidRPr="00FA10AA">
        <w:rPr>
          <w:rFonts w:ascii="Arial" w:eastAsia="Calibri" w:hAnsi="Arial" w:cs="Arial"/>
          <w:color w:val="000000"/>
          <w:shd w:val="clear" w:color="auto" w:fill="FFFFFF"/>
          <w:lang w:eastAsia="en-US"/>
        </w:rPr>
        <w:t>.</w:t>
      </w:r>
    </w:p>
    <w:p w14:paraId="4C57B574" w14:textId="77777777" w:rsidR="00FA10AA" w:rsidRPr="00FA10AA" w:rsidRDefault="00FA10AA" w:rsidP="00FA10AA">
      <w:pPr>
        <w:bidi/>
        <w:spacing w:before="100" w:beforeAutospacing="1" w:after="0"/>
        <w:ind w:left="283"/>
        <w:jc w:val="both"/>
        <w:rPr>
          <w:rFonts w:ascii="Arial" w:eastAsia="Calibri" w:hAnsi="Arial" w:cs="Arial" w:hint="cs"/>
          <w:color w:val="000000"/>
          <w:rtl/>
          <w:lang w:eastAsia="en-US"/>
        </w:rPr>
      </w:pPr>
      <w:r w:rsidRPr="00FA10AA">
        <w:rPr>
          <w:rFonts w:ascii="Arial" w:eastAsia="Calibri" w:hAnsi="Arial" w:cs="Arial"/>
          <w:b/>
          <w:bCs/>
          <w:color w:val="000000"/>
          <w:shd w:val="clear" w:color="auto" w:fill="FFFFFF"/>
          <w:rtl/>
          <w:lang w:eastAsia="en-US"/>
        </w:rPr>
        <w:t>الفصل 4</w:t>
      </w:r>
      <w:r w:rsidRPr="00FA10AA">
        <w:rPr>
          <w:rFonts w:ascii="Arial" w:eastAsia="Calibri" w:hAnsi="Arial" w:cs="Arial" w:hint="cs"/>
          <w:b/>
          <w:bCs/>
          <w:color w:val="000000"/>
          <w:shd w:val="clear" w:color="auto" w:fill="FFFFFF"/>
          <w:rtl/>
          <w:lang w:eastAsia="en-US"/>
        </w:rPr>
        <w:t xml:space="preserve"> –</w:t>
      </w:r>
      <w:r w:rsidRPr="00FA10AA">
        <w:rPr>
          <w:rFonts w:ascii="Arial" w:eastAsia="Calibri" w:hAnsi="Arial" w:cs="Arial" w:hint="cs"/>
          <w:color w:val="000000"/>
          <w:shd w:val="clear" w:color="auto" w:fill="FFFFFF"/>
          <w:rtl/>
          <w:lang w:eastAsia="en-US"/>
        </w:rPr>
        <w:t xml:space="preserve"> </w:t>
      </w:r>
      <w:r w:rsidRPr="00FA10AA">
        <w:rPr>
          <w:rFonts w:ascii="Arial" w:eastAsia="Calibri" w:hAnsi="Arial" w:cs="Arial"/>
          <w:color w:val="000000"/>
          <w:shd w:val="clear" w:color="auto" w:fill="FFFFFF"/>
          <w:rtl/>
          <w:lang w:eastAsia="en-US"/>
        </w:rPr>
        <w:t>تخضع المنحة المسندة إلى رئيس الهيئة وأعضائها إلى الخصم بعنوان الضريبة على الدخل وإلى المساهمات بعنوان الضمان الاجتماعي وفق التشاريع الجاري بها العمل</w:t>
      </w:r>
      <w:r w:rsidRPr="00FA10AA">
        <w:rPr>
          <w:rFonts w:ascii="Arial" w:eastAsia="Calibri" w:hAnsi="Arial" w:cs="Arial"/>
          <w:color w:val="000000"/>
          <w:shd w:val="clear" w:color="auto" w:fill="FFFFFF"/>
          <w:lang w:eastAsia="en-US"/>
        </w:rPr>
        <w:t>.</w:t>
      </w:r>
    </w:p>
    <w:p w14:paraId="5BD8FE07"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rPr>
      </w:pPr>
      <w:r w:rsidRPr="00FA10AA">
        <w:rPr>
          <w:rFonts w:ascii="Arial" w:eastAsia="Calibri" w:hAnsi="Arial" w:cs="Arial"/>
          <w:b/>
          <w:bCs/>
          <w:color w:val="000000"/>
          <w:shd w:val="clear" w:color="auto" w:fill="FFFFFF"/>
          <w:rtl/>
          <w:lang w:eastAsia="en-US"/>
        </w:rPr>
        <w:t>الفصل 5</w:t>
      </w:r>
      <w:r w:rsidRPr="00FA10AA">
        <w:rPr>
          <w:rFonts w:ascii="Arial" w:eastAsia="Calibri" w:hAnsi="Arial" w:cs="Arial" w:hint="cs"/>
          <w:b/>
          <w:bCs/>
          <w:color w:val="000000"/>
          <w:shd w:val="clear" w:color="auto" w:fill="FFFFFF"/>
          <w:rtl/>
          <w:lang w:eastAsia="en-US"/>
        </w:rPr>
        <w:t xml:space="preserve"> –</w:t>
      </w:r>
      <w:r w:rsidRPr="00FA10AA">
        <w:rPr>
          <w:rFonts w:ascii="Arial" w:eastAsia="Calibri" w:hAnsi="Arial" w:cs="Arial" w:hint="cs"/>
          <w:color w:val="000000"/>
          <w:shd w:val="clear" w:color="auto" w:fill="FFFFFF"/>
          <w:rtl/>
          <w:lang w:eastAsia="en-US"/>
        </w:rPr>
        <w:t xml:space="preserve"> </w:t>
      </w:r>
      <w:r w:rsidRPr="00FA10AA">
        <w:rPr>
          <w:rFonts w:ascii="Arial" w:eastAsia="Calibri" w:hAnsi="Arial" w:cs="Arial"/>
          <w:color w:val="000000"/>
          <w:shd w:val="clear" w:color="auto" w:fill="FFFFFF"/>
          <w:rtl/>
          <w:lang w:eastAsia="en-US"/>
        </w:rPr>
        <w:t>لا يمكن الجمع بين المنح المنصوص عليها بالفصل 2 من هذا الأمر وأي أجور أو منافع أخرى تسندها الدولة أو المؤسسات العمومية أو المنشآت العمومية أو الجماعات المحلية بعنوان منح أو أجور</w:t>
      </w:r>
      <w:r w:rsidRPr="00FA10AA">
        <w:rPr>
          <w:rFonts w:ascii="Arial" w:eastAsia="Calibri" w:hAnsi="Arial" w:cs="Arial"/>
          <w:color w:val="000000"/>
          <w:shd w:val="clear" w:color="auto" w:fill="FFFFFF"/>
          <w:lang w:eastAsia="en-US"/>
        </w:rPr>
        <w:t>.</w:t>
      </w:r>
    </w:p>
    <w:p w14:paraId="2E96390C"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rPr>
      </w:pPr>
      <w:r w:rsidRPr="00FA10AA">
        <w:rPr>
          <w:rFonts w:ascii="Arial" w:eastAsia="Calibri" w:hAnsi="Arial" w:cs="Arial"/>
          <w:b/>
          <w:bCs/>
          <w:color w:val="000000"/>
          <w:shd w:val="clear" w:color="auto" w:fill="FFFFFF"/>
          <w:rtl/>
          <w:lang w:eastAsia="en-US"/>
        </w:rPr>
        <w:t>الفصل 6</w:t>
      </w:r>
      <w:r w:rsidRPr="00FA10AA">
        <w:rPr>
          <w:rFonts w:ascii="Arial" w:eastAsia="Calibri" w:hAnsi="Arial" w:cs="Arial" w:hint="cs"/>
          <w:b/>
          <w:bCs/>
          <w:color w:val="000000"/>
          <w:shd w:val="clear" w:color="auto" w:fill="FFFFFF"/>
          <w:rtl/>
          <w:lang w:eastAsia="en-US"/>
        </w:rPr>
        <w:t xml:space="preserve"> –</w:t>
      </w:r>
      <w:r w:rsidRPr="00FA10AA">
        <w:rPr>
          <w:rFonts w:ascii="Arial" w:eastAsia="Calibri" w:hAnsi="Arial" w:cs="Arial" w:hint="cs"/>
          <w:color w:val="000000"/>
          <w:shd w:val="clear" w:color="auto" w:fill="FFFFFF"/>
          <w:rtl/>
          <w:lang w:eastAsia="en-US"/>
        </w:rPr>
        <w:t xml:space="preserve"> </w:t>
      </w:r>
      <w:r w:rsidRPr="00FA10AA">
        <w:rPr>
          <w:rFonts w:ascii="Arial" w:eastAsia="Calibri" w:hAnsi="Arial" w:cs="Arial"/>
          <w:color w:val="000000"/>
          <w:shd w:val="clear" w:color="auto" w:fill="FFFFFF"/>
          <w:rtl/>
          <w:lang w:eastAsia="en-US"/>
        </w:rPr>
        <w:t>يحجر على رئيس وأعضاء مجلس الهيئة أن يقوموا بصفة مباشرة أو غير مباشرة بمهام تضعهم في حالة تضارب مصالح مع المصلحة العامة للهيئة العليا المستقلة للاتصال السمعي والبصري</w:t>
      </w:r>
      <w:r w:rsidRPr="00FA10AA">
        <w:rPr>
          <w:rFonts w:ascii="Arial" w:eastAsia="Calibri" w:hAnsi="Arial" w:cs="Arial"/>
          <w:color w:val="000000"/>
          <w:shd w:val="clear" w:color="auto" w:fill="FFFFFF"/>
          <w:lang w:eastAsia="en-US"/>
        </w:rPr>
        <w:t>.</w:t>
      </w:r>
    </w:p>
    <w:p w14:paraId="5417476B" w14:textId="77777777" w:rsidR="00FA10AA" w:rsidRPr="00FA10AA" w:rsidRDefault="00FA10AA" w:rsidP="00FA10AA">
      <w:pPr>
        <w:bidi/>
        <w:spacing w:before="100" w:beforeAutospacing="1" w:after="0"/>
        <w:ind w:left="283"/>
        <w:jc w:val="both"/>
        <w:rPr>
          <w:rFonts w:ascii="Arial" w:eastAsia="Calibri" w:hAnsi="Arial" w:cs="Arial" w:hint="cs"/>
          <w:color w:val="000000"/>
          <w:shd w:val="clear" w:color="auto" w:fill="FFFFFF"/>
          <w:rtl/>
          <w:lang w:eastAsia="en-US"/>
        </w:rPr>
      </w:pPr>
      <w:r w:rsidRPr="00FA10AA">
        <w:rPr>
          <w:rFonts w:ascii="Arial" w:eastAsia="Calibri" w:hAnsi="Arial" w:cs="Arial"/>
          <w:b/>
          <w:bCs/>
          <w:color w:val="000000"/>
          <w:shd w:val="clear" w:color="auto" w:fill="FFFFFF"/>
          <w:rtl/>
          <w:lang w:eastAsia="en-US"/>
        </w:rPr>
        <w:t>الفصل 7</w:t>
      </w:r>
      <w:r w:rsidRPr="00FA10AA">
        <w:rPr>
          <w:rFonts w:ascii="Arial" w:eastAsia="Calibri" w:hAnsi="Arial" w:cs="Arial" w:hint="cs"/>
          <w:b/>
          <w:bCs/>
          <w:color w:val="000000"/>
          <w:shd w:val="clear" w:color="auto" w:fill="FFFFFF"/>
          <w:rtl/>
          <w:lang w:eastAsia="en-US"/>
        </w:rPr>
        <w:t xml:space="preserve"> –</w:t>
      </w:r>
      <w:r w:rsidRPr="00FA10AA">
        <w:rPr>
          <w:rFonts w:ascii="Arial" w:eastAsia="Calibri" w:hAnsi="Arial" w:cs="Arial" w:hint="cs"/>
          <w:color w:val="000000"/>
          <w:shd w:val="clear" w:color="auto" w:fill="FFFFFF"/>
          <w:rtl/>
          <w:lang w:eastAsia="en-US"/>
        </w:rPr>
        <w:t xml:space="preserve"> </w:t>
      </w:r>
      <w:r w:rsidRPr="00FA10AA">
        <w:rPr>
          <w:rFonts w:ascii="Arial" w:eastAsia="Calibri" w:hAnsi="Arial" w:cs="Arial"/>
          <w:color w:val="000000"/>
          <w:shd w:val="clear" w:color="auto" w:fill="FFFFFF"/>
          <w:rtl/>
          <w:lang w:eastAsia="en-US"/>
        </w:rPr>
        <w:t>وزير المالية ورئيس الهيئة العليا المستقلة للاتصال السمعي والبصري مكلفان، كل فيما يخصه، بتنفيذ هذا الأمر الذي ينشر بالرائد الرسمي للجمهورية التونسية</w:t>
      </w:r>
      <w:r w:rsidRPr="00FA10AA">
        <w:rPr>
          <w:rFonts w:ascii="Arial" w:eastAsia="Calibri" w:hAnsi="Arial" w:cs="Arial"/>
          <w:color w:val="000000"/>
          <w:shd w:val="clear" w:color="auto" w:fill="FFFFFF"/>
          <w:lang w:eastAsia="en-US"/>
        </w:rPr>
        <w:t>.</w:t>
      </w:r>
    </w:p>
    <w:p w14:paraId="59A3D800" w14:textId="6BEF9BC8" w:rsidR="00214CFF" w:rsidRPr="00FA10AA" w:rsidRDefault="00FA10AA" w:rsidP="00FA10AA">
      <w:pPr>
        <w:bidi/>
        <w:spacing w:before="100" w:beforeAutospacing="1" w:after="0"/>
        <w:ind w:left="283"/>
        <w:jc w:val="both"/>
        <w:rPr>
          <w:rFonts w:ascii="Arial" w:eastAsia="Calibri" w:hAnsi="Arial" w:cs="Arial"/>
          <w:b/>
          <w:bCs/>
          <w:color w:val="000000"/>
          <w:shd w:val="clear" w:color="auto" w:fill="FFFFFF"/>
          <w:lang w:eastAsia="en-US"/>
        </w:rPr>
      </w:pPr>
      <w:r w:rsidRPr="00FA10AA">
        <w:rPr>
          <w:rFonts w:ascii="Arial" w:eastAsia="Calibri" w:hAnsi="Arial" w:cs="Arial"/>
          <w:b/>
          <w:bCs/>
          <w:color w:val="000000"/>
          <w:shd w:val="clear" w:color="auto" w:fill="FFFFFF"/>
          <w:rtl/>
          <w:lang w:eastAsia="en-US"/>
        </w:rPr>
        <w:t>تونس في 26 جويلية 2013</w:t>
      </w:r>
      <w:r w:rsidRPr="00FA10AA">
        <w:rPr>
          <w:rFonts w:ascii="Arial" w:eastAsia="Calibri" w:hAnsi="Arial" w:cs="Arial"/>
          <w:b/>
          <w:bCs/>
          <w:color w:val="000000"/>
          <w:shd w:val="clear" w:color="auto" w:fill="FFFFFF"/>
          <w:lang w:eastAsia="en-US"/>
        </w:rPr>
        <w:t>.</w:t>
      </w:r>
      <w:bookmarkStart w:id="0" w:name="_GoBack"/>
      <w:bookmarkEnd w:id="0"/>
    </w:p>
    <w:sectPr w:rsidR="00214CFF" w:rsidRPr="00FA10AA"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0F388" w14:textId="77777777" w:rsidR="00710469" w:rsidRDefault="00710469" w:rsidP="008F3F2D">
      <w:r>
        <w:separator/>
      </w:r>
    </w:p>
  </w:endnote>
  <w:endnote w:type="continuationSeparator" w:id="0">
    <w:p w14:paraId="1644E21F" w14:textId="77777777" w:rsidR="00710469" w:rsidRDefault="0071046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A10A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A10AA">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A10AA">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A10AA">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A10A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A10AA">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FA10AA">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FA10AA">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9DD49" w14:textId="77777777" w:rsidR="00710469" w:rsidRDefault="00710469" w:rsidP="00696990">
      <w:pPr>
        <w:bidi/>
        <w:jc w:val="both"/>
      </w:pPr>
      <w:r>
        <w:separator/>
      </w:r>
    </w:p>
  </w:footnote>
  <w:footnote w:type="continuationSeparator" w:id="0">
    <w:p w14:paraId="0FED4923" w14:textId="77777777" w:rsidR="00710469" w:rsidRDefault="0071046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D83"/>
    <w:multiLevelType w:val="hybridMultilevel"/>
    <w:tmpl w:val="B3FA2A18"/>
    <w:lvl w:ilvl="0" w:tplc="AAB0D414">
      <w:start w:val="1"/>
      <w:numFmt w:val="arabicAbjad"/>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nsid w:val="45825D79"/>
    <w:multiLevelType w:val="hybridMultilevel"/>
    <w:tmpl w:val="7D28E916"/>
    <w:lvl w:ilvl="0" w:tplc="67386CAC">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523673"/>
    <w:multiLevelType w:val="hybridMultilevel"/>
    <w:tmpl w:val="6B5E616E"/>
    <w:lvl w:ilvl="0" w:tplc="408EE8C2">
      <w:start w:val="1"/>
      <w:numFmt w:val="bullet"/>
      <w:lvlText w:val=""/>
      <w:lvlJc w:val="left"/>
      <w:pPr>
        <w:ind w:left="720" w:hanging="360"/>
      </w:pPr>
      <w:rPr>
        <w:rFonts w:ascii="Symbol" w:hAnsi="Symbol" w:hint="default"/>
        <w:lang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
  </w:num>
  <w:num w:numId="5">
    <w:abstractNumId w:val="10"/>
  </w:num>
  <w:num w:numId="6">
    <w:abstractNumId w:val="3"/>
  </w:num>
  <w:num w:numId="7">
    <w:abstractNumId w:val="9"/>
  </w:num>
  <w:num w:numId="8">
    <w:abstractNumId w:val="2"/>
  </w:num>
  <w:num w:numId="9">
    <w:abstractNumId w:val="0"/>
  </w:num>
  <w:num w:numId="10">
    <w:abstractNumId w:val="7"/>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15D6"/>
    <w:rsid w:val="00053C64"/>
    <w:rsid w:val="000B0D20"/>
    <w:rsid w:val="00146086"/>
    <w:rsid w:val="001E5DD5"/>
    <w:rsid w:val="00211881"/>
    <w:rsid w:val="00214CFF"/>
    <w:rsid w:val="002B19EE"/>
    <w:rsid w:val="00300E19"/>
    <w:rsid w:val="003040F9"/>
    <w:rsid w:val="00354137"/>
    <w:rsid w:val="003A76D7"/>
    <w:rsid w:val="003B6CD4"/>
    <w:rsid w:val="004851EE"/>
    <w:rsid w:val="004D03AF"/>
    <w:rsid w:val="004D4882"/>
    <w:rsid w:val="005024B7"/>
    <w:rsid w:val="005F7BF4"/>
    <w:rsid w:val="00655356"/>
    <w:rsid w:val="00684129"/>
    <w:rsid w:val="00690191"/>
    <w:rsid w:val="00696990"/>
    <w:rsid w:val="006C103F"/>
    <w:rsid w:val="00710469"/>
    <w:rsid w:val="007244D3"/>
    <w:rsid w:val="0075404E"/>
    <w:rsid w:val="007722D9"/>
    <w:rsid w:val="007C6F68"/>
    <w:rsid w:val="007F729E"/>
    <w:rsid w:val="008016FB"/>
    <w:rsid w:val="0086081A"/>
    <w:rsid w:val="00867853"/>
    <w:rsid w:val="008D73A6"/>
    <w:rsid w:val="008F3F2D"/>
    <w:rsid w:val="00943045"/>
    <w:rsid w:val="00955067"/>
    <w:rsid w:val="00957F0E"/>
    <w:rsid w:val="0097472C"/>
    <w:rsid w:val="00A00644"/>
    <w:rsid w:val="00A04F09"/>
    <w:rsid w:val="00A054EF"/>
    <w:rsid w:val="00A81D8F"/>
    <w:rsid w:val="00A90F21"/>
    <w:rsid w:val="00AD2268"/>
    <w:rsid w:val="00B05438"/>
    <w:rsid w:val="00B617F1"/>
    <w:rsid w:val="00BE5233"/>
    <w:rsid w:val="00C1635D"/>
    <w:rsid w:val="00C44A17"/>
    <w:rsid w:val="00C64B86"/>
    <w:rsid w:val="00C70ED5"/>
    <w:rsid w:val="00C9512C"/>
    <w:rsid w:val="00CC4ADF"/>
    <w:rsid w:val="00D07749"/>
    <w:rsid w:val="00D17590"/>
    <w:rsid w:val="00D27C26"/>
    <w:rsid w:val="00DF2B42"/>
    <w:rsid w:val="00E10A35"/>
    <w:rsid w:val="00E953A2"/>
    <w:rsid w:val="00ED01E0"/>
    <w:rsid w:val="00F502A2"/>
    <w:rsid w:val="00F57B75"/>
    <w:rsid w:val="00FA10AA"/>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FA10AA"/>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customStyle="1" w:styleId="apple-converted-space">
    <w:name w:val="apple-converted-space"/>
    <w:basedOn w:val="Policepardfaut"/>
    <w:rsid w:val="00ED01E0"/>
  </w:style>
  <w:style w:type="table" w:customStyle="1" w:styleId="Grilledutableau31">
    <w:name w:val="Grille du tableau31"/>
    <w:basedOn w:val="TableauNormal"/>
    <w:next w:val="Grilledutableau"/>
    <w:uiPriority w:val="59"/>
    <w:rsid w:val="00ED01E0"/>
    <w:rPr>
      <w:rFonts w:eastAsia="MS Mincho"/>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FA10AA"/>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2012-07-16T08:37:00Z</cp:lastPrinted>
  <dcterms:created xsi:type="dcterms:W3CDTF">2013-08-07T08:30:00Z</dcterms:created>
  <dcterms:modified xsi:type="dcterms:W3CDTF">2013-08-07T08:30:00Z</dcterms:modified>
</cp:coreProperties>
</file>