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4D439E">
      <w:pPr>
        <w:spacing w:line="240" w:lineRule="auto"/>
      </w:pPr>
    </w:p>
    <w:p w14:paraId="49F8D039" w14:textId="77777777" w:rsidR="00B77CC5" w:rsidRPr="00CA753E" w:rsidRDefault="00B77CC5" w:rsidP="00B77CC5">
      <w:pPr>
        <w:spacing w:before="100" w:beforeAutospacing="1" w:after="0"/>
        <w:ind w:left="283"/>
        <w:jc w:val="both"/>
        <w:rPr>
          <w:rFonts w:ascii="Arial" w:hAnsi="Arial" w:cs="Arial"/>
          <w:b/>
          <w:bCs/>
          <w:sz w:val="24"/>
          <w:szCs w:val="24"/>
        </w:rPr>
      </w:pPr>
      <w:r w:rsidRPr="00CA753E">
        <w:rPr>
          <w:rFonts w:ascii="Arial" w:hAnsi="Arial" w:cs="Arial"/>
          <w:b/>
          <w:bCs/>
          <w:sz w:val="24"/>
          <w:szCs w:val="24"/>
        </w:rPr>
        <w:t>Décret n° 2013-2834 du 9 juillet 2013, portant majoration de l'indemnité spécifique servie au profit des personnels civils de l'enseignement supérieur militaire</w:t>
      </w:r>
    </w:p>
    <w:p w14:paraId="6958FC30" w14:textId="77777777" w:rsidR="00B77CC5" w:rsidRPr="00CA753E" w:rsidRDefault="00B77CC5" w:rsidP="00B77CC5">
      <w:pPr>
        <w:spacing w:before="100" w:beforeAutospacing="1" w:after="0"/>
        <w:ind w:left="283"/>
        <w:jc w:val="both"/>
        <w:rPr>
          <w:rFonts w:ascii="Arial" w:hAnsi="Arial" w:cs="Arial"/>
          <w:sz w:val="20"/>
          <w:szCs w:val="20"/>
        </w:rPr>
      </w:pPr>
      <w:r w:rsidRPr="00CA753E">
        <w:rPr>
          <w:rFonts w:ascii="Arial" w:hAnsi="Arial" w:cs="Arial"/>
          <w:sz w:val="20"/>
          <w:szCs w:val="20"/>
        </w:rPr>
        <w:t xml:space="preserve">Le chef du gouvernement, </w:t>
      </w:r>
      <w:bookmarkStart w:id="0" w:name="_GoBack"/>
      <w:bookmarkEnd w:id="0"/>
    </w:p>
    <w:p w14:paraId="15CFA358" w14:textId="77777777" w:rsidR="00B77CC5" w:rsidRPr="00CA753E" w:rsidRDefault="00B77CC5" w:rsidP="00B77CC5">
      <w:pPr>
        <w:spacing w:before="100" w:beforeAutospacing="1" w:after="0"/>
        <w:ind w:left="283"/>
        <w:jc w:val="both"/>
        <w:rPr>
          <w:rFonts w:ascii="Arial" w:hAnsi="Arial" w:cs="Arial"/>
          <w:sz w:val="20"/>
          <w:szCs w:val="20"/>
        </w:rPr>
      </w:pPr>
      <w:r w:rsidRPr="00CA753E">
        <w:rPr>
          <w:rFonts w:ascii="Arial" w:hAnsi="Arial" w:cs="Arial"/>
          <w:sz w:val="20"/>
          <w:szCs w:val="20"/>
        </w:rPr>
        <w:t xml:space="preserve">Sur proposition du ministre de la défense nationale, </w:t>
      </w:r>
    </w:p>
    <w:p w14:paraId="59BA1BA4" w14:textId="77777777" w:rsidR="00B77CC5" w:rsidRPr="00CA753E" w:rsidRDefault="00B77CC5" w:rsidP="00B77CC5">
      <w:pPr>
        <w:spacing w:before="100" w:beforeAutospacing="1" w:after="0"/>
        <w:ind w:left="283"/>
        <w:jc w:val="both"/>
        <w:rPr>
          <w:rFonts w:ascii="Arial" w:hAnsi="Arial" w:cs="Arial"/>
          <w:sz w:val="20"/>
          <w:szCs w:val="20"/>
        </w:rPr>
      </w:pPr>
      <w:r w:rsidRPr="00CA753E">
        <w:rPr>
          <w:rFonts w:ascii="Arial" w:hAnsi="Arial" w:cs="Arial"/>
          <w:sz w:val="20"/>
          <w:szCs w:val="20"/>
        </w:rPr>
        <w:t xml:space="preserve">Vu la loi constituante n° 2011-6 du 16 décembre 2012, portant organisation provisoire des pouvoirs publics, </w:t>
      </w:r>
    </w:p>
    <w:p w14:paraId="53C35704" w14:textId="77777777" w:rsidR="00B77CC5" w:rsidRPr="00CA753E" w:rsidRDefault="00B77CC5" w:rsidP="00B77CC5">
      <w:pPr>
        <w:spacing w:before="100" w:beforeAutospacing="1" w:after="0"/>
        <w:ind w:left="283"/>
        <w:jc w:val="both"/>
        <w:rPr>
          <w:rFonts w:ascii="Arial" w:hAnsi="Arial" w:cs="Arial"/>
          <w:sz w:val="20"/>
          <w:szCs w:val="20"/>
        </w:rPr>
      </w:pPr>
      <w:r w:rsidRPr="00CA753E">
        <w:rPr>
          <w:rFonts w:ascii="Arial" w:hAnsi="Arial" w:cs="Arial"/>
          <w:sz w:val="20"/>
          <w:szCs w:val="20"/>
        </w:rPr>
        <w:t xml:space="preserve">Vu la loi n° 83-112 du 12 décembre 1983, portant statut général des personnels de l'état, des collectivités locales et des établissements publics à caractère administratif, ensemble les textes qui l'ont modifiée ou complétée et notamment la loi n° 2011-89 du 23 septembre 2011, </w:t>
      </w:r>
    </w:p>
    <w:p w14:paraId="07EE18A3" w14:textId="77777777" w:rsidR="00B77CC5" w:rsidRPr="00CA753E" w:rsidRDefault="00B77CC5" w:rsidP="00B77CC5">
      <w:pPr>
        <w:spacing w:before="100" w:beforeAutospacing="1" w:after="0"/>
        <w:ind w:left="283"/>
        <w:jc w:val="both"/>
        <w:rPr>
          <w:rFonts w:ascii="Arial" w:hAnsi="Arial" w:cs="Arial"/>
          <w:sz w:val="20"/>
          <w:szCs w:val="20"/>
        </w:rPr>
      </w:pPr>
      <w:r w:rsidRPr="00CA753E">
        <w:rPr>
          <w:rFonts w:ascii="Arial" w:hAnsi="Arial" w:cs="Arial"/>
          <w:sz w:val="20"/>
          <w:szCs w:val="20"/>
        </w:rPr>
        <w:t xml:space="preserve">Vu la loi n° 2002-22 du 14 février 2002, relative à l'enseignement supérieur militaire, </w:t>
      </w:r>
    </w:p>
    <w:p w14:paraId="5433D312" w14:textId="77777777" w:rsidR="00B77CC5" w:rsidRPr="00CA753E" w:rsidRDefault="00B77CC5" w:rsidP="00B77CC5">
      <w:pPr>
        <w:spacing w:before="100" w:beforeAutospacing="1" w:after="0"/>
        <w:ind w:left="283"/>
        <w:jc w:val="both"/>
        <w:rPr>
          <w:rFonts w:ascii="Arial" w:hAnsi="Arial" w:cs="Arial"/>
          <w:sz w:val="20"/>
          <w:szCs w:val="20"/>
        </w:rPr>
      </w:pPr>
      <w:r w:rsidRPr="00CA753E">
        <w:rPr>
          <w:rFonts w:ascii="Arial" w:hAnsi="Arial" w:cs="Arial"/>
          <w:sz w:val="20"/>
          <w:szCs w:val="20"/>
        </w:rPr>
        <w:t xml:space="preserve">Vu le décret n° 75-671 du 25 septembre 1975, fixant les attributions du ministre de la défense nationale, </w:t>
      </w:r>
    </w:p>
    <w:p w14:paraId="633539AC" w14:textId="77777777" w:rsidR="00B77CC5" w:rsidRPr="00CA753E" w:rsidRDefault="00B77CC5" w:rsidP="00B77CC5">
      <w:pPr>
        <w:spacing w:before="100" w:beforeAutospacing="1" w:after="0"/>
        <w:ind w:left="283"/>
        <w:jc w:val="both"/>
        <w:rPr>
          <w:rFonts w:ascii="Arial" w:hAnsi="Arial" w:cs="Arial"/>
          <w:sz w:val="20"/>
          <w:szCs w:val="20"/>
        </w:rPr>
      </w:pPr>
      <w:r w:rsidRPr="00CA753E">
        <w:rPr>
          <w:rFonts w:ascii="Arial" w:hAnsi="Arial" w:cs="Arial"/>
          <w:sz w:val="20"/>
          <w:szCs w:val="20"/>
        </w:rPr>
        <w:t xml:space="preserve">Vu le décret n° 89-108 du 11 janvier 1989, fixant le statut particulier des personnels civils de l'enseignement supérieur militaire, ensemble les textes qui l'ont modifié ou complété et notamment le décret n° 2003-2076 du 14 octobre 2003, </w:t>
      </w:r>
    </w:p>
    <w:p w14:paraId="0BF2570D" w14:textId="77777777" w:rsidR="00B77CC5" w:rsidRPr="00CA753E" w:rsidRDefault="00B77CC5" w:rsidP="00B77CC5">
      <w:pPr>
        <w:spacing w:before="100" w:beforeAutospacing="1" w:after="0"/>
        <w:ind w:left="283"/>
        <w:jc w:val="both"/>
        <w:rPr>
          <w:rFonts w:ascii="Arial" w:hAnsi="Arial" w:cs="Arial"/>
          <w:sz w:val="20"/>
          <w:szCs w:val="20"/>
        </w:rPr>
      </w:pPr>
      <w:r w:rsidRPr="00CA753E">
        <w:rPr>
          <w:rFonts w:ascii="Arial" w:hAnsi="Arial" w:cs="Arial"/>
          <w:sz w:val="20"/>
          <w:szCs w:val="20"/>
        </w:rPr>
        <w:t xml:space="preserve">Vu le décret n° 2001-2379 du 8 octobre 2001, portant institution d'une indemnité spécifique au profit des personnels civils de l'enseignement supérieur militaire, tel que modifié par le décret n° 2009-1972 du 23 juin 2009, </w:t>
      </w:r>
    </w:p>
    <w:p w14:paraId="6B023FD9" w14:textId="77777777" w:rsidR="00B77CC5" w:rsidRPr="00CA753E" w:rsidRDefault="00B77CC5" w:rsidP="00B77CC5">
      <w:pPr>
        <w:spacing w:before="100" w:beforeAutospacing="1" w:after="0"/>
        <w:ind w:left="283"/>
        <w:jc w:val="both"/>
        <w:rPr>
          <w:rFonts w:ascii="Arial" w:hAnsi="Arial" w:cs="Arial"/>
          <w:sz w:val="20"/>
          <w:szCs w:val="20"/>
        </w:rPr>
      </w:pPr>
      <w:r w:rsidRPr="00CA753E">
        <w:rPr>
          <w:rFonts w:ascii="Arial" w:hAnsi="Arial" w:cs="Arial"/>
          <w:sz w:val="20"/>
          <w:szCs w:val="20"/>
        </w:rPr>
        <w:t xml:space="preserve">Vu le décret n° 2013-1372 du 15 mars 2013, portant nomination des membres du gouvernement, </w:t>
      </w:r>
    </w:p>
    <w:p w14:paraId="50585587" w14:textId="77777777" w:rsidR="00B77CC5" w:rsidRPr="00CA753E" w:rsidRDefault="00B77CC5" w:rsidP="00B77CC5">
      <w:pPr>
        <w:spacing w:before="100" w:beforeAutospacing="1" w:after="0"/>
        <w:ind w:left="283"/>
        <w:jc w:val="both"/>
        <w:rPr>
          <w:rFonts w:ascii="Arial" w:hAnsi="Arial" w:cs="Arial"/>
          <w:sz w:val="20"/>
          <w:szCs w:val="20"/>
        </w:rPr>
      </w:pPr>
      <w:r w:rsidRPr="00CA753E">
        <w:rPr>
          <w:rFonts w:ascii="Arial" w:hAnsi="Arial" w:cs="Arial"/>
          <w:sz w:val="20"/>
          <w:szCs w:val="20"/>
        </w:rPr>
        <w:t xml:space="preserve">Vu le décret n° 2013-1470 du 6 mai 2013, portant majoration de l'indemnité spécifique servie au profit du corps des enseignants chercheurs des universités et des établissements d'enseignement supérieur et de recherche, </w:t>
      </w:r>
    </w:p>
    <w:p w14:paraId="67D5F2E2" w14:textId="77777777" w:rsidR="00B77CC5" w:rsidRPr="00CA753E" w:rsidRDefault="00B77CC5" w:rsidP="00B77CC5">
      <w:pPr>
        <w:spacing w:before="100" w:beforeAutospacing="1" w:after="0"/>
        <w:ind w:left="283"/>
        <w:jc w:val="both"/>
        <w:rPr>
          <w:rFonts w:ascii="Arial" w:hAnsi="Arial" w:cs="Arial"/>
          <w:sz w:val="20"/>
          <w:szCs w:val="20"/>
        </w:rPr>
      </w:pPr>
      <w:r w:rsidRPr="00CA753E">
        <w:rPr>
          <w:rFonts w:ascii="Arial" w:hAnsi="Arial" w:cs="Arial"/>
          <w:sz w:val="20"/>
          <w:szCs w:val="20"/>
        </w:rPr>
        <w:t xml:space="preserve">Vu l'avis du ministre des finances, </w:t>
      </w:r>
    </w:p>
    <w:p w14:paraId="15D3B5F3" w14:textId="77777777" w:rsidR="00B77CC5" w:rsidRPr="00CA753E" w:rsidRDefault="00B77CC5" w:rsidP="00B77CC5">
      <w:pPr>
        <w:spacing w:before="100" w:beforeAutospacing="1" w:after="0"/>
        <w:ind w:left="283"/>
        <w:jc w:val="both"/>
        <w:rPr>
          <w:rFonts w:ascii="Arial" w:hAnsi="Arial" w:cs="Arial"/>
          <w:sz w:val="20"/>
          <w:szCs w:val="20"/>
        </w:rPr>
      </w:pPr>
      <w:r w:rsidRPr="00CA753E">
        <w:rPr>
          <w:rFonts w:ascii="Arial" w:hAnsi="Arial" w:cs="Arial"/>
          <w:sz w:val="20"/>
          <w:szCs w:val="20"/>
        </w:rPr>
        <w:t>Vu l'avis du tribunal administratif,</w:t>
      </w:r>
    </w:p>
    <w:p w14:paraId="75F7E9B1" w14:textId="77777777" w:rsidR="00B77CC5" w:rsidRPr="00CA753E" w:rsidRDefault="00B77CC5" w:rsidP="00B77CC5">
      <w:pPr>
        <w:spacing w:before="100" w:beforeAutospacing="1" w:after="0"/>
        <w:ind w:left="283"/>
        <w:jc w:val="both"/>
        <w:rPr>
          <w:rFonts w:ascii="Arial" w:hAnsi="Arial" w:cs="Arial"/>
          <w:sz w:val="20"/>
          <w:szCs w:val="20"/>
        </w:rPr>
      </w:pPr>
      <w:r w:rsidRPr="00CA753E">
        <w:rPr>
          <w:rFonts w:ascii="Arial" w:hAnsi="Arial" w:cs="Arial"/>
          <w:sz w:val="20"/>
          <w:szCs w:val="20"/>
        </w:rPr>
        <w:t>Vu la délibération du conseil des ministres et après information du Président de la République.</w:t>
      </w:r>
    </w:p>
    <w:p w14:paraId="42CD10E7" w14:textId="77777777" w:rsidR="00B77CC5" w:rsidRPr="00CA753E" w:rsidRDefault="00B77CC5" w:rsidP="00B77CC5">
      <w:pPr>
        <w:spacing w:before="100" w:beforeAutospacing="1" w:after="0"/>
        <w:ind w:left="283"/>
        <w:jc w:val="both"/>
        <w:rPr>
          <w:rFonts w:ascii="Arial" w:hAnsi="Arial" w:cs="Arial"/>
          <w:sz w:val="20"/>
          <w:szCs w:val="20"/>
        </w:rPr>
      </w:pPr>
      <w:r w:rsidRPr="00CA753E">
        <w:rPr>
          <w:rFonts w:ascii="Arial" w:hAnsi="Arial" w:cs="Arial"/>
          <w:sz w:val="20"/>
          <w:szCs w:val="20"/>
        </w:rPr>
        <w:t>Décrète :</w:t>
      </w:r>
    </w:p>
    <w:p w14:paraId="500E5372" w14:textId="77777777" w:rsidR="00B77CC5" w:rsidRPr="000544C2" w:rsidRDefault="00B77CC5" w:rsidP="00B77CC5">
      <w:pPr>
        <w:spacing w:before="100" w:beforeAutospacing="1" w:after="0"/>
        <w:ind w:left="283"/>
        <w:jc w:val="both"/>
        <w:rPr>
          <w:rFonts w:ascii="Arial" w:hAnsi="Arial" w:cs="Arial"/>
          <w:b/>
          <w:bCs/>
          <w:i/>
          <w:iCs/>
          <w:sz w:val="20"/>
          <w:szCs w:val="20"/>
        </w:rPr>
      </w:pPr>
      <w:r>
        <w:rPr>
          <w:rFonts w:ascii="Arial" w:hAnsi="Arial" w:cs="Arial"/>
          <w:b/>
          <w:bCs/>
          <w:i/>
          <w:iCs/>
          <w:sz w:val="20"/>
          <w:szCs w:val="20"/>
        </w:rPr>
        <w:t xml:space="preserve">Article premier – </w:t>
      </w:r>
      <w:r w:rsidRPr="00CA753E">
        <w:rPr>
          <w:rFonts w:ascii="Arial" w:hAnsi="Arial" w:cs="Arial"/>
          <w:sz w:val="20"/>
          <w:szCs w:val="20"/>
        </w:rPr>
        <w:t xml:space="preserve"> L'indemnité spécifique servie au profit des personnels civils de l'enseignement supérieur miliaire et instituée par le décret n° 2001-2379 du 8 octobre 2001 susvisé, est majorée conformément aux indications du tableau suivant :</w:t>
      </w:r>
    </w:p>
    <w:tbl>
      <w:tblPr>
        <w:tblStyle w:val="Grilledutableau"/>
        <w:tblW w:w="0" w:type="auto"/>
        <w:tblInd w:w="354" w:type="dxa"/>
        <w:tblCellMar>
          <w:left w:w="70" w:type="dxa"/>
          <w:right w:w="70" w:type="dxa"/>
        </w:tblCellMar>
        <w:tblLook w:val="0000" w:firstRow="0" w:lastRow="0" w:firstColumn="0" w:lastColumn="0" w:noHBand="0" w:noVBand="0"/>
      </w:tblPr>
      <w:tblGrid>
        <w:gridCol w:w="2835"/>
        <w:gridCol w:w="2126"/>
        <w:gridCol w:w="2268"/>
        <w:gridCol w:w="2126"/>
      </w:tblGrid>
      <w:tr w:rsidR="00B77CC5" w:rsidRPr="00CA753E" w14:paraId="4DEB1205" w14:textId="77777777" w:rsidTr="00453C8D">
        <w:trPr>
          <w:gridBefore w:val="1"/>
          <w:wBefore w:w="2835" w:type="dxa"/>
          <w:trHeight w:val="57"/>
        </w:trPr>
        <w:tc>
          <w:tcPr>
            <w:tcW w:w="6520" w:type="dxa"/>
            <w:gridSpan w:val="3"/>
            <w:vAlign w:val="center"/>
          </w:tcPr>
          <w:p w14:paraId="50A41AF9" w14:textId="77777777" w:rsidR="00B77CC5" w:rsidRDefault="00B77CC5" w:rsidP="00453C8D">
            <w:pPr>
              <w:spacing w:after="0"/>
              <w:ind w:left="283"/>
              <w:jc w:val="center"/>
              <w:rPr>
                <w:rFonts w:ascii="Arial" w:hAnsi="Arial" w:cs="Arial"/>
                <w:b/>
                <w:bCs/>
                <w:sz w:val="20"/>
                <w:szCs w:val="20"/>
              </w:rPr>
            </w:pPr>
            <w:r w:rsidRPr="00CA753E">
              <w:rPr>
                <w:rFonts w:ascii="Arial" w:hAnsi="Arial" w:cs="Arial"/>
                <w:b/>
                <w:bCs/>
                <w:sz w:val="20"/>
                <w:szCs w:val="20"/>
              </w:rPr>
              <w:t>Montant mensuel de la major</w:t>
            </w:r>
            <w:r>
              <w:rPr>
                <w:rFonts w:ascii="Arial" w:hAnsi="Arial" w:cs="Arial"/>
                <w:b/>
                <w:bCs/>
                <w:sz w:val="20"/>
                <w:szCs w:val="20"/>
              </w:rPr>
              <w:t>ation de l’indemnité spécifique</w:t>
            </w:r>
          </w:p>
          <w:p w14:paraId="42ABA523" w14:textId="77777777" w:rsidR="00B77CC5" w:rsidRPr="00CA753E" w:rsidRDefault="00B77CC5" w:rsidP="00453C8D">
            <w:pPr>
              <w:spacing w:after="0"/>
              <w:ind w:left="283"/>
              <w:jc w:val="center"/>
              <w:rPr>
                <w:rFonts w:ascii="Arial" w:hAnsi="Arial" w:cs="Arial"/>
                <w:b/>
                <w:bCs/>
                <w:sz w:val="20"/>
                <w:szCs w:val="20"/>
              </w:rPr>
            </w:pPr>
            <w:r w:rsidRPr="00CA753E">
              <w:rPr>
                <w:rFonts w:ascii="Arial" w:hAnsi="Arial" w:cs="Arial"/>
                <w:b/>
                <w:bCs/>
                <w:sz w:val="20"/>
                <w:szCs w:val="20"/>
              </w:rPr>
              <w:t>(en dinars)</w:t>
            </w:r>
          </w:p>
        </w:tc>
      </w:tr>
      <w:tr w:rsidR="00B77CC5" w:rsidRPr="000544C2" w14:paraId="1C9F9DE5" w14:textId="77777777" w:rsidTr="00453C8D">
        <w:tblPrEx>
          <w:tblCellMar>
            <w:left w:w="108" w:type="dxa"/>
            <w:right w:w="108" w:type="dxa"/>
          </w:tblCellMar>
          <w:tblLook w:val="04A0" w:firstRow="1" w:lastRow="0" w:firstColumn="1" w:lastColumn="0" w:noHBand="0" w:noVBand="1"/>
        </w:tblPrEx>
        <w:trPr>
          <w:trHeight w:val="57"/>
        </w:trPr>
        <w:tc>
          <w:tcPr>
            <w:tcW w:w="2835" w:type="dxa"/>
            <w:vAlign w:val="center"/>
          </w:tcPr>
          <w:p w14:paraId="4E1F2FA5" w14:textId="77777777" w:rsidR="00B77CC5" w:rsidRPr="000544C2" w:rsidRDefault="00B77CC5" w:rsidP="00453C8D">
            <w:pPr>
              <w:spacing w:before="100" w:beforeAutospacing="1" w:after="0"/>
              <w:ind w:left="283"/>
              <w:jc w:val="center"/>
              <w:rPr>
                <w:rFonts w:ascii="Arial" w:hAnsi="Arial" w:cs="Arial"/>
                <w:b/>
                <w:bCs/>
                <w:sz w:val="20"/>
                <w:szCs w:val="20"/>
              </w:rPr>
            </w:pPr>
            <w:r w:rsidRPr="000544C2">
              <w:rPr>
                <w:rFonts w:ascii="Arial" w:hAnsi="Arial" w:cs="Arial"/>
                <w:b/>
                <w:bCs/>
                <w:sz w:val="20"/>
                <w:szCs w:val="20"/>
              </w:rPr>
              <w:t>Grades</w:t>
            </w:r>
          </w:p>
        </w:tc>
        <w:tc>
          <w:tcPr>
            <w:tcW w:w="2126" w:type="dxa"/>
            <w:vAlign w:val="center"/>
          </w:tcPr>
          <w:p w14:paraId="1D73A103" w14:textId="77777777" w:rsidR="00B77CC5" w:rsidRPr="000544C2" w:rsidRDefault="00B77CC5" w:rsidP="00453C8D">
            <w:pPr>
              <w:spacing w:before="100" w:beforeAutospacing="1" w:after="0"/>
              <w:ind w:left="283"/>
              <w:jc w:val="center"/>
              <w:rPr>
                <w:rFonts w:ascii="Arial" w:hAnsi="Arial" w:cs="Arial"/>
                <w:b/>
                <w:bCs/>
                <w:sz w:val="20"/>
                <w:szCs w:val="20"/>
              </w:rPr>
            </w:pPr>
            <w:r w:rsidRPr="000544C2">
              <w:rPr>
                <w:rFonts w:ascii="Arial" w:hAnsi="Arial" w:cs="Arial"/>
                <w:b/>
                <w:bCs/>
                <w:sz w:val="20"/>
                <w:szCs w:val="20"/>
              </w:rPr>
              <w:t>A compter du 1</w:t>
            </w:r>
            <w:r w:rsidRPr="000544C2">
              <w:rPr>
                <w:rFonts w:ascii="Arial" w:hAnsi="Arial" w:cs="Arial"/>
                <w:b/>
                <w:bCs/>
                <w:sz w:val="20"/>
                <w:szCs w:val="20"/>
                <w:vertAlign w:val="superscript"/>
              </w:rPr>
              <w:t>er</w:t>
            </w:r>
            <w:r w:rsidRPr="000544C2">
              <w:rPr>
                <w:rFonts w:ascii="Arial" w:hAnsi="Arial" w:cs="Arial"/>
                <w:b/>
                <w:bCs/>
                <w:sz w:val="20"/>
                <w:szCs w:val="20"/>
              </w:rPr>
              <w:t xml:space="preserve"> décembre 2012</w:t>
            </w:r>
          </w:p>
        </w:tc>
        <w:tc>
          <w:tcPr>
            <w:tcW w:w="2268" w:type="dxa"/>
            <w:vAlign w:val="center"/>
          </w:tcPr>
          <w:p w14:paraId="77F4C248" w14:textId="77777777" w:rsidR="00B77CC5" w:rsidRPr="000544C2" w:rsidRDefault="00B77CC5" w:rsidP="00453C8D">
            <w:pPr>
              <w:spacing w:before="100" w:beforeAutospacing="1" w:after="0"/>
              <w:ind w:left="283"/>
              <w:jc w:val="center"/>
              <w:rPr>
                <w:rFonts w:ascii="Arial" w:hAnsi="Arial" w:cs="Arial"/>
                <w:b/>
                <w:bCs/>
                <w:sz w:val="20"/>
                <w:szCs w:val="20"/>
              </w:rPr>
            </w:pPr>
            <w:r w:rsidRPr="000544C2">
              <w:rPr>
                <w:rFonts w:ascii="Arial" w:hAnsi="Arial" w:cs="Arial"/>
                <w:b/>
                <w:bCs/>
                <w:sz w:val="20"/>
                <w:szCs w:val="20"/>
              </w:rPr>
              <w:t>A compter du 1</w:t>
            </w:r>
            <w:r w:rsidRPr="000544C2">
              <w:rPr>
                <w:rFonts w:ascii="Arial" w:hAnsi="Arial" w:cs="Arial"/>
                <w:b/>
                <w:bCs/>
                <w:sz w:val="20"/>
                <w:szCs w:val="20"/>
                <w:vertAlign w:val="superscript"/>
              </w:rPr>
              <w:t>er</w:t>
            </w:r>
            <w:r w:rsidRPr="000544C2">
              <w:rPr>
                <w:rFonts w:ascii="Arial" w:hAnsi="Arial" w:cs="Arial"/>
                <w:b/>
                <w:bCs/>
                <w:sz w:val="20"/>
                <w:szCs w:val="20"/>
              </w:rPr>
              <w:t xml:space="preserve"> décembre 2013</w:t>
            </w:r>
          </w:p>
        </w:tc>
        <w:tc>
          <w:tcPr>
            <w:tcW w:w="2126" w:type="dxa"/>
            <w:vAlign w:val="center"/>
          </w:tcPr>
          <w:p w14:paraId="03CE4E54" w14:textId="77777777" w:rsidR="00B77CC5" w:rsidRPr="000544C2" w:rsidRDefault="00B77CC5" w:rsidP="00453C8D">
            <w:pPr>
              <w:spacing w:before="100" w:beforeAutospacing="1" w:after="0"/>
              <w:ind w:left="283"/>
              <w:jc w:val="center"/>
              <w:rPr>
                <w:rFonts w:ascii="Arial" w:hAnsi="Arial" w:cs="Arial"/>
                <w:b/>
                <w:bCs/>
                <w:sz w:val="20"/>
                <w:szCs w:val="20"/>
              </w:rPr>
            </w:pPr>
            <w:r w:rsidRPr="000544C2">
              <w:rPr>
                <w:rFonts w:ascii="Arial" w:hAnsi="Arial" w:cs="Arial"/>
                <w:b/>
                <w:bCs/>
                <w:sz w:val="20"/>
                <w:szCs w:val="20"/>
              </w:rPr>
              <w:t>A compter du 1</w:t>
            </w:r>
            <w:r w:rsidRPr="000544C2">
              <w:rPr>
                <w:rFonts w:ascii="Arial" w:hAnsi="Arial" w:cs="Arial"/>
                <w:b/>
                <w:bCs/>
                <w:sz w:val="20"/>
                <w:szCs w:val="20"/>
                <w:vertAlign w:val="superscript"/>
              </w:rPr>
              <w:t>er</w:t>
            </w:r>
            <w:r w:rsidRPr="000544C2">
              <w:rPr>
                <w:rFonts w:ascii="Arial" w:hAnsi="Arial" w:cs="Arial"/>
                <w:b/>
                <w:bCs/>
                <w:sz w:val="20"/>
                <w:szCs w:val="20"/>
              </w:rPr>
              <w:t xml:space="preserve"> juillet 2014</w:t>
            </w:r>
          </w:p>
        </w:tc>
      </w:tr>
      <w:tr w:rsidR="00B77CC5" w:rsidRPr="00CA753E" w14:paraId="681649C5" w14:textId="77777777" w:rsidTr="00453C8D">
        <w:tblPrEx>
          <w:tblCellMar>
            <w:left w:w="108" w:type="dxa"/>
            <w:right w:w="108" w:type="dxa"/>
          </w:tblCellMar>
          <w:tblLook w:val="04A0" w:firstRow="1" w:lastRow="0" w:firstColumn="1" w:lastColumn="0" w:noHBand="0" w:noVBand="1"/>
        </w:tblPrEx>
        <w:trPr>
          <w:trHeight w:val="57"/>
        </w:trPr>
        <w:tc>
          <w:tcPr>
            <w:tcW w:w="2835" w:type="dxa"/>
            <w:vAlign w:val="center"/>
          </w:tcPr>
          <w:p w14:paraId="32792891" w14:textId="77777777" w:rsidR="00B77CC5" w:rsidRPr="00CA753E" w:rsidRDefault="00B77CC5" w:rsidP="00453C8D">
            <w:pPr>
              <w:spacing w:before="100" w:beforeAutospacing="1" w:after="0"/>
              <w:ind w:left="283"/>
              <w:rPr>
                <w:rFonts w:ascii="Arial" w:hAnsi="Arial" w:cs="Arial"/>
                <w:sz w:val="20"/>
                <w:szCs w:val="20"/>
              </w:rPr>
            </w:pPr>
            <w:r w:rsidRPr="00CA753E">
              <w:rPr>
                <w:rFonts w:ascii="Arial" w:hAnsi="Arial" w:cs="Arial"/>
                <w:sz w:val="20"/>
                <w:szCs w:val="20"/>
              </w:rPr>
              <w:t xml:space="preserve">Professeur de </w:t>
            </w:r>
            <w:r w:rsidRPr="00CA753E">
              <w:rPr>
                <w:rFonts w:ascii="Arial" w:hAnsi="Arial" w:cs="Arial"/>
                <w:sz w:val="20"/>
                <w:szCs w:val="20"/>
              </w:rPr>
              <w:lastRenderedPageBreak/>
              <w:t xml:space="preserve">l’enseignement supérieur militaire </w:t>
            </w:r>
          </w:p>
        </w:tc>
        <w:tc>
          <w:tcPr>
            <w:tcW w:w="2126" w:type="dxa"/>
            <w:vAlign w:val="center"/>
          </w:tcPr>
          <w:p w14:paraId="6D161C5D" w14:textId="77777777" w:rsidR="00B77CC5" w:rsidRPr="00CA753E" w:rsidRDefault="00B77CC5" w:rsidP="00453C8D">
            <w:pPr>
              <w:spacing w:before="100" w:beforeAutospacing="1" w:after="0"/>
              <w:ind w:left="283"/>
              <w:jc w:val="center"/>
              <w:rPr>
                <w:rFonts w:ascii="Arial" w:hAnsi="Arial" w:cs="Arial"/>
                <w:sz w:val="20"/>
                <w:szCs w:val="20"/>
              </w:rPr>
            </w:pPr>
            <w:r w:rsidRPr="00CA753E">
              <w:rPr>
                <w:rFonts w:ascii="Arial" w:hAnsi="Arial" w:cs="Arial"/>
                <w:sz w:val="20"/>
                <w:szCs w:val="20"/>
              </w:rPr>
              <w:lastRenderedPageBreak/>
              <w:t>280</w:t>
            </w:r>
          </w:p>
        </w:tc>
        <w:tc>
          <w:tcPr>
            <w:tcW w:w="2268" w:type="dxa"/>
            <w:vAlign w:val="center"/>
          </w:tcPr>
          <w:p w14:paraId="044B05E3" w14:textId="77777777" w:rsidR="00B77CC5" w:rsidRPr="00CA753E" w:rsidRDefault="00B77CC5" w:rsidP="00453C8D">
            <w:pPr>
              <w:spacing w:before="100" w:beforeAutospacing="1" w:after="0"/>
              <w:ind w:left="283"/>
              <w:jc w:val="center"/>
              <w:rPr>
                <w:rFonts w:ascii="Arial" w:hAnsi="Arial" w:cs="Arial"/>
                <w:sz w:val="20"/>
                <w:szCs w:val="20"/>
              </w:rPr>
            </w:pPr>
            <w:r w:rsidRPr="00CA753E">
              <w:rPr>
                <w:rFonts w:ascii="Arial" w:hAnsi="Arial" w:cs="Arial"/>
                <w:sz w:val="20"/>
                <w:szCs w:val="20"/>
              </w:rPr>
              <w:t>280</w:t>
            </w:r>
          </w:p>
        </w:tc>
        <w:tc>
          <w:tcPr>
            <w:tcW w:w="2126" w:type="dxa"/>
            <w:vAlign w:val="center"/>
          </w:tcPr>
          <w:p w14:paraId="4D2D90BC" w14:textId="77777777" w:rsidR="00B77CC5" w:rsidRPr="00CA753E" w:rsidRDefault="00B77CC5" w:rsidP="00453C8D">
            <w:pPr>
              <w:spacing w:before="100" w:beforeAutospacing="1" w:after="0"/>
              <w:ind w:left="283"/>
              <w:jc w:val="center"/>
              <w:rPr>
                <w:rFonts w:ascii="Arial" w:hAnsi="Arial" w:cs="Arial"/>
                <w:sz w:val="20"/>
                <w:szCs w:val="20"/>
              </w:rPr>
            </w:pPr>
            <w:r w:rsidRPr="00CA753E">
              <w:rPr>
                <w:rFonts w:ascii="Arial" w:hAnsi="Arial" w:cs="Arial"/>
                <w:sz w:val="20"/>
                <w:szCs w:val="20"/>
              </w:rPr>
              <w:t>290</w:t>
            </w:r>
          </w:p>
        </w:tc>
      </w:tr>
      <w:tr w:rsidR="00B77CC5" w:rsidRPr="00CA753E" w14:paraId="662F27B7" w14:textId="77777777" w:rsidTr="00453C8D">
        <w:tblPrEx>
          <w:tblCellMar>
            <w:left w:w="108" w:type="dxa"/>
            <w:right w:w="108" w:type="dxa"/>
          </w:tblCellMar>
          <w:tblLook w:val="04A0" w:firstRow="1" w:lastRow="0" w:firstColumn="1" w:lastColumn="0" w:noHBand="0" w:noVBand="1"/>
        </w:tblPrEx>
        <w:trPr>
          <w:trHeight w:val="57"/>
        </w:trPr>
        <w:tc>
          <w:tcPr>
            <w:tcW w:w="2835" w:type="dxa"/>
            <w:vAlign w:val="center"/>
          </w:tcPr>
          <w:p w14:paraId="3A1903BA" w14:textId="77777777" w:rsidR="00B77CC5" w:rsidRPr="00CA753E" w:rsidRDefault="00B77CC5" w:rsidP="00453C8D">
            <w:pPr>
              <w:spacing w:before="100" w:beforeAutospacing="1" w:after="0"/>
              <w:ind w:left="283"/>
              <w:rPr>
                <w:rFonts w:ascii="Arial" w:hAnsi="Arial" w:cs="Arial"/>
                <w:sz w:val="20"/>
                <w:szCs w:val="20"/>
              </w:rPr>
            </w:pPr>
            <w:r w:rsidRPr="00CA753E">
              <w:rPr>
                <w:rFonts w:ascii="Arial" w:hAnsi="Arial" w:cs="Arial"/>
                <w:sz w:val="20"/>
                <w:szCs w:val="20"/>
              </w:rPr>
              <w:lastRenderedPageBreak/>
              <w:t xml:space="preserve">Maitre de conférences de l’enseignement supérieur militaire </w:t>
            </w:r>
          </w:p>
        </w:tc>
        <w:tc>
          <w:tcPr>
            <w:tcW w:w="2126" w:type="dxa"/>
            <w:vAlign w:val="center"/>
          </w:tcPr>
          <w:p w14:paraId="6CB0C564" w14:textId="77777777" w:rsidR="00B77CC5" w:rsidRPr="00CA753E" w:rsidRDefault="00B77CC5" w:rsidP="00453C8D">
            <w:pPr>
              <w:spacing w:before="100" w:beforeAutospacing="1" w:after="0"/>
              <w:ind w:left="283"/>
              <w:jc w:val="center"/>
              <w:rPr>
                <w:rFonts w:ascii="Arial" w:hAnsi="Arial" w:cs="Arial"/>
                <w:sz w:val="20"/>
                <w:szCs w:val="20"/>
              </w:rPr>
            </w:pPr>
            <w:r w:rsidRPr="00CA753E">
              <w:rPr>
                <w:rFonts w:ascii="Arial" w:hAnsi="Arial" w:cs="Arial"/>
                <w:sz w:val="20"/>
                <w:szCs w:val="20"/>
              </w:rPr>
              <w:t>230</w:t>
            </w:r>
          </w:p>
        </w:tc>
        <w:tc>
          <w:tcPr>
            <w:tcW w:w="2268" w:type="dxa"/>
            <w:vAlign w:val="center"/>
          </w:tcPr>
          <w:p w14:paraId="549190D4" w14:textId="77777777" w:rsidR="00B77CC5" w:rsidRPr="00CA753E" w:rsidRDefault="00B77CC5" w:rsidP="00453C8D">
            <w:pPr>
              <w:spacing w:before="100" w:beforeAutospacing="1" w:after="0"/>
              <w:ind w:left="283"/>
              <w:jc w:val="center"/>
              <w:rPr>
                <w:rFonts w:ascii="Arial" w:hAnsi="Arial" w:cs="Arial"/>
                <w:sz w:val="20"/>
                <w:szCs w:val="20"/>
              </w:rPr>
            </w:pPr>
            <w:r w:rsidRPr="00CA753E">
              <w:rPr>
                <w:rFonts w:ascii="Arial" w:hAnsi="Arial" w:cs="Arial"/>
                <w:sz w:val="20"/>
                <w:szCs w:val="20"/>
              </w:rPr>
              <w:t>230</w:t>
            </w:r>
          </w:p>
        </w:tc>
        <w:tc>
          <w:tcPr>
            <w:tcW w:w="2126" w:type="dxa"/>
            <w:vAlign w:val="center"/>
          </w:tcPr>
          <w:p w14:paraId="6F6DE676" w14:textId="77777777" w:rsidR="00B77CC5" w:rsidRPr="00CA753E" w:rsidRDefault="00B77CC5" w:rsidP="00453C8D">
            <w:pPr>
              <w:spacing w:before="100" w:beforeAutospacing="1" w:after="0"/>
              <w:ind w:left="283"/>
              <w:jc w:val="center"/>
              <w:rPr>
                <w:rFonts w:ascii="Arial" w:hAnsi="Arial" w:cs="Arial"/>
                <w:sz w:val="20"/>
                <w:szCs w:val="20"/>
              </w:rPr>
            </w:pPr>
            <w:r w:rsidRPr="00CA753E">
              <w:rPr>
                <w:rFonts w:ascii="Arial" w:hAnsi="Arial" w:cs="Arial"/>
                <w:sz w:val="20"/>
                <w:szCs w:val="20"/>
              </w:rPr>
              <w:t>240</w:t>
            </w:r>
          </w:p>
        </w:tc>
      </w:tr>
      <w:tr w:rsidR="00B77CC5" w:rsidRPr="00CA753E" w14:paraId="22543A56" w14:textId="77777777" w:rsidTr="00453C8D">
        <w:tblPrEx>
          <w:tblCellMar>
            <w:left w:w="108" w:type="dxa"/>
            <w:right w:w="108" w:type="dxa"/>
          </w:tblCellMar>
          <w:tblLook w:val="04A0" w:firstRow="1" w:lastRow="0" w:firstColumn="1" w:lastColumn="0" w:noHBand="0" w:noVBand="1"/>
        </w:tblPrEx>
        <w:trPr>
          <w:trHeight w:val="57"/>
        </w:trPr>
        <w:tc>
          <w:tcPr>
            <w:tcW w:w="2835" w:type="dxa"/>
            <w:vAlign w:val="center"/>
          </w:tcPr>
          <w:p w14:paraId="3A137212" w14:textId="77777777" w:rsidR="00B77CC5" w:rsidRPr="00CA753E" w:rsidRDefault="00B77CC5" w:rsidP="00453C8D">
            <w:pPr>
              <w:spacing w:before="100" w:beforeAutospacing="1" w:after="0"/>
              <w:ind w:left="283"/>
              <w:rPr>
                <w:rFonts w:ascii="Arial" w:hAnsi="Arial" w:cs="Arial"/>
                <w:sz w:val="20"/>
                <w:szCs w:val="20"/>
              </w:rPr>
            </w:pPr>
            <w:r w:rsidRPr="00CA753E">
              <w:rPr>
                <w:rFonts w:ascii="Arial" w:hAnsi="Arial" w:cs="Arial"/>
                <w:sz w:val="20"/>
                <w:szCs w:val="20"/>
              </w:rPr>
              <w:t xml:space="preserve">Maitre-assistant de l’enseignement supérieur militaire </w:t>
            </w:r>
          </w:p>
        </w:tc>
        <w:tc>
          <w:tcPr>
            <w:tcW w:w="2126" w:type="dxa"/>
            <w:vAlign w:val="center"/>
          </w:tcPr>
          <w:p w14:paraId="170BE72C" w14:textId="77777777" w:rsidR="00B77CC5" w:rsidRPr="00CA753E" w:rsidRDefault="00B77CC5" w:rsidP="00453C8D">
            <w:pPr>
              <w:spacing w:before="100" w:beforeAutospacing="1" w:after="0"/>
              <w:ind w:left="283"/>
              <w:jc w:val="center"/>
              <w:rPr>
                <w:rFonts w:ascii="Arial" w:hAnsi="Arial" w:cs="Arial"/>
                <w:sz w:val="20"/>
                <w:szCs w:val="20"/>
              </w:rPr>
            </w:pPr>
            <w:r w:rsidRPr="00CA753E">
              <w:rPr>
                <w:rFonts w:ascii="Arial" w:hAnsi="Arial" w:cs="Arial"/>
                <w:sz w:val="20"/>
                <w:szCs w:val="20"/>
              </w:rPr>
              <w:t>180</w:t>
            </w:r>
          </w:p>
        </w:tc>
        <w:tc>
          <w:tcPr>
            <w:tcW w:w="2268" w:type="dxa"/>
            <w:vAlign w:val="center"/>
          </w:tcPr>
          <w:p w14:paraId="3EB0332A" w14:textId="77777777" w:rsidR="00B77CC5" w:rsidRPr="00CA753E" w:rsidRDefault="00B77CC5" w:rsidP="00453C8D">
            <w:pPr>
              <w:spacing w:before="100" w:beforeAutospacing="1" w:after="0"/>
              <w:ind w:left="283"/>
              <w:jc w:val="center"/>
              <w:rPr>
                <w:rFonts w:ascii="Arial" w:hAnsi="Arial" w:cs="Arial"/>
                <w:sz w:val="20"/>
                <w:szCs w:val="20"/>
              </w:rPr>
            </w:pPr>
            <w:r w:rsidRPr="00CA753E">
              <w:rPr>
                <w:rFonts w:ascii="Arial" w:hAnsi="Arial" w:cs="Arial"/>
                <w:sz w:val="20"/>
                <w:szCs w:val="20"/>
              </w:rPr>
              <w:t>180</w:t>
            </w:r>
          </w:p>
        </w:tc>
        <w:tc>
          <w:tcPr>
            <w:tcW w:w="2126" w:type="dxa"/>
            <w:vAlign w:val="center"/>
          </w:tcPr>
          <w:p w14:paraId="08A7A43C" w14:textId="77777777" w:rsidR="00B77CC5" w:rsidRPr="00CA753E" w:rsidRDefault="00B77CC5" w:rsidP="00453C8D">
            <w:pPr>
              <w:spacing w:before="100" w:beforeAutospacing="1" w:after="0"/>
              <w:ind w:left="283"/>
              <w:jc w:val="center"/>
              <w:rPr>
                <w:rFonts w:ascii="Arial" w:hAnsi="Arial" w:cs="Arial"/>
                <w:sz w:val="20"/>
                <w:szCs w:val="20"/>
              </w:rPr>
            </w:pPr>
            <w:r w:rsidRPr="00CA753E">
              <w:rPr>
                <w:rFonts w:ascii="Arial" w:hAnsi="Arial" w:cs="Arial"/>
                <w:sz w:val="20"/>
                <w:szCs w:val="20"/>
              </w:rPr>
              <w:t>190</w:t>
            </w:r>
          </w:p>
        </w:tc>
      </w:tr>
    </w:tbl>
    <w:p w14:paraId="144EB2FC" w14:textId="77777777" w:rsidR="00B77CC5" w:rsidRPr="00CA753E" w:rsidRDefault="00B77CC5" w:rsidP="00B77CC5">
      <w:pPr>
        <w:spacing w:before="100" w:beforeAutospacing="1" w:after="0"/>
        <w:ind w:left="283"/>
        <w:jc w:val="both"/>
        <w:rPr>
          <w:rFonts w:ascii="Arial" w:hAnsi="Arial" w:cs="Arial"/>
          <w:sz w:val="20"/>
          <w:szCs w:val="20"/>
        </w:rPr>
      </w:pPr>
      <w:r w:rsidRPr="00CA753E">
        <w:rPr>
          <w:rFonts w:ascii="Arial" w:hAnsi="Arial" w:cs="Arial"/>
          <w:b/>
          <w:bCs/>
          <w:i/>
          <w:iCs/>
          <w:sz w:val="20"/>
          <w:szCs w:val="20"/>
        </w:rPr>
        <w:t xml:space="preserve">Art. 2 – </w:t>
      </w:r>
      <w:r w:rsidRPr="00CA753E">
        <w:rPr>
          <w:rFonts w:ascii="Arial" w:hAnsi="Arial" w:cs="Arial"/>
          <w:sz w:val="20"/>
          <w:szCs w:val="20"/>
        </w:rPr>
        <w:t xml:space="preserve"> Le ministre de la défense nationale et le ministre des finances sont chargés, chacun en ce qui le concerne, de l'exécution du présent décret qui sera publié au Journal Officiel de la République Tunisienne.</w:t>
      </w:r>
    </w:p>
    <w:p w14:paraId="71E6F4F2" w14:textId="571D885D" w:rsidR="00E953A2" w:rsidRPr="004D439E" w:rsidRDefault="00B77CC5" w:rsidP="00B77CC5">
      <w:pPr>
        <w:spacing w:before="100" w:beforeAutospacing="1" w:after="0" w:line="240" w:lineRule="auto"/>
        <w:ind w:left="283"/>
        <w:jc w:val="both"/>
        <w:textAlignment w:val="baseline"/>
        <w:rPr>
          <w:rFonts w:ascii="Arial" w:eastAsia="Times New Roman" w:hAnsi="Arial" w:cs="Arial"/>
          <w:b/>
          <w:bCs/>
          <w:color w:val="000000"/>
          <w:sz w:val="20"/>
          <w:szCs w:val="20"/>
          <w:lang w:eastAsia="en-US"/>
        </w:rPr>
      </w:pPr>
      <w:r w:rsidRPr="00CA753E">
        <w:rPr>
          <w:rFonts w:ascii="Arial" w:hAnsi="Arial" w:cs="Arial"/>
          <w:b/>
          <w:bCs/>
          <w:sz w:val="20"/>
          <w:szCs w:val="20"/>
        </w:rPr>
        <w:t>Tunis, le 9 juillet 2013</w:t>
      </w:r>
      <w:r>
        <w:rPr>
          <w:rFonts w:ascii="Arial" w:hAnsi="Arial" w:cs="Arial"/>
          <w:b/>
          <w:bCs/>
          <w:sz w:val="20"/>
          <w:szCs w:val="20"/>
        </w:rPr>
        <w:t>.</w:t>
      </w:r>
    </w:p>
    <w:sectPr w:rsidR="00E953A2" w:rsidRPr="004D439E"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9A984" w14:textId="77777777" w:rsidR="005854FB" w:rsidRDefault="005854FB" w:rsidP="008F3F2D">
      <w:r>
        <w:separator/>
      </w:r>
    </w:p>
  </w:endnote>
  <w:endnote w:type="continuationSeparator" w:id="0">
    <w:p w14:paraId="556CF868" w14:textId="77777777" w:rsidR="005854FB" w:rsidRDefault="005854FB"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77CC5">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77CC5">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77CC5">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77CC5">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77B5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77B5C">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77B5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77B5C">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DA9A6" w14:textId="77777777" w:rsidR="005854FB" w:rsidRDefault="005854FB" w:rsidP="008F3F2D">
      <w:r>
        <w:separator/>
      </w:r>
    </w:p>
  </w:footnote>
  <w:footnote w:type="continuationSeparator" w:id="0">
    <w:p w14:paraId="611A9AFF" w14:textId="77777777" w:rsidR="005854FB" w:rsidRDefault="005854FB"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7D3CE3"/>
    <w:multiLevelType w:val="hybridMultilevel"/>
    <w:tmpl w:val="3354A86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FE2A59"/>
    <w:multiLevelType w:val="hybridMultilevel"/>
    <w:tmpl w:val="C3426C52"/>
    <w:lvl w:ilvl="0" w:tplc="277C42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135C45"/>
    <w:multiLevelType w:val="hybridMultilevel"/>
    <w:tmpl w:val="509CC0CC"/>
    <w:lvl w:ilvl="0" w:tplc="55EC8F1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283C0D"/>
    <w:multiLevelType w:val="hybridMultilevel"/>
    <w:tmpl w:val="29B437F0"/>
    <w:lvl w:ilvl="0" w:tplc="FB0ED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B042AAB"/>
    <w:multiLevelType w:val="hybridMultilevel"/>
    <w:tmpl w:val="30B87720"/>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84081D"/>
    <w:multiLevelType w:val="hybridMultilevel"/>
    <w:tmpl w:val="CEC0235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0">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1567082"/>
    <w:multiLevelType w:val="hybridMultilevel"/>
    <w:tmpl w:val="CEA4FDF0"/>
    <w:lvl w:ilvl="0" w:tplc="C8AE66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660329E"/>
    <w:multiLevelType w:val="hybridMultilevel"/>
    <w:tmpl w:val="3E9E7F9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1DD5830"/>
    <w:multiLevelType w:val="hybridMultilevel"/>
    <w:tmpl w:val="0512E36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8CA1553"/>
    <w:multiLevelType w:val="hybridMultilevel"/>
    <w:tmpl w:val="7916AB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77D7F1C"/>
    <w:multiLevelType w:val="hybridMultilevel"/>
    <w:tmpl w:val="4EA803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7F9778F"/>
    <w:multiLevelType w:val="hybridMultilevel"/>
    <w:tmpl w:val="E70E8CE4"/>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3">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F8630B"/>
    <w:multiLevelType w:val="hybridMultilevel"/>
    <w:tmpl w:val="B60C874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98C5529"/>
    <w:multiLevelType w:val="hybridMultilevel"/>
    <w:tmpl w:val="2AFC8262"/>
    <w:lvl w:ilvl="0" w:tplc="97983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12"/>
  </w:num>
  <w:num w:numId="3">
    <w:abstractNumId w:val="24"/>
  </w:num>
  <w:num w:numId="4">
    <w:abstractNumId w:val="13"/>
  </w:num>
  <w:num w:numId="5">
    <w:abstractNumId w:val="23"/>
  </w:num>
  <w:num w:numId="6">
    <w:abstractNumId w:val="28"/>
  </w:num>
  <w:num w:numId="7">
    <w:abstractNumId w:val="18"/>
  </w:num>
  <w:num w:numId="8">
    <w:abstractNumId w:val="2"/>
  </w:num>
  <w:num w:numId="9">
    <w:abstractNumId w:val="17"/>
  </w:num>
  <w:num w:numId="10">
    <w:abstractNumId w:val="10"/>
  </w:num>
  <w:num w:numId="11">
    <w:abstractNumId w:val="8"/>
  </w:num>
  <w:num w:numId="12">
    <w:abstractNumId w:val="1"/>
  </w:num>
  <w:num w:numId="13">
    <w:abstractNumId w:val="11"/>
  </w:num>
  <w:num w:numId="14">
    <w:abstractNumId w:val="25"/>
  </w:num>
  <w:num w:numId="15">
    <w:abstractNumId w:val="16"/>
  </w:num>
  <w:num w:numId="16">
    <w:abstractNumId w:val="4"/>
  </w:num>
  <w:num w:numId="17">
    <w:abstractNumId w:val="26"/>
  </w:num>
  <w:num w:numId="18">
    <w:abstractNumId w:val="15"/>
  </w:num>
  <w:num w:numId="19">
    <w:abstractNumId w:val="7"/>
  </w:num>
  <w:num w:numId="20">
    <w:abstractNumId w:val="22"/>
  </w:num>
  <w:num w:numId="21">
    <w:abstractNumId w:val="20"/>
  </w:num>
  <w:num w:numId="22">
    <w:abstractNumId w:val="21"/>
  </w:num>
  <w:num w:numId="23">
    <w:abstractNumId w:val="9"/>
  </w:num>
  <w:num w:numId="24">
    <w:abstractNumId w:val="19"/>
  </w:num>
  <w:num w:numId="25">
    <w:abstractNumId w:val="14"/>
  </w:num>
  <w:num w:numId="26">
    <w:abstractNumId w:val="5"/>
  </w:num>
  <w:num w:numId="27">
    <w:abstractNumId w:val="6"/>
  </w:num>
  <w:num w:numId="28">
    <w:abstractNumId w:val="2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F52"/>
    <w:rsid w:val="00061148"/>
    <w:rsid w:val="000825C4"/>
    <w:rsid w:val="000B0D20"/>
    <w:rsid w:val="000D0DE1"/>
    <w:rsid w:val="001E5DD5"/>
    <w:rsid w:val="0020398F"/>
    <w:rsid w:val="002B19EE"/>
    <w:rsid w:val="00354137"/>
    <w:rsid w:val="003B6CD4"/>
    <w:rsid w:val="00400FF9"/>
    <w:rsid w:val="00453B4B"/>
    <w:rsid w:val="00477B5C"/>
    <w:rsid w:val="004D439E"/>
    <w:rsid w:val="005854FB"/>
    <w:rsid w:val="005F7BF4"/>
    <w:rsid w:val="00684129"/>
    <w:rsid w:val="00724237"/>
    <w:rsid w:val="007244D3"/>
    <w:rsid w:val="0075404E"/>
    <w:rsid w:val="0089552E"/>
    <w:rsid w:val="008F3F2D"/>
    <w:rsid w:val="00957F0E"/>
    <w:rsid w:val="0097472C"/>
    <w:rsid w:val="00A00644"/>
    <w:rsid w:val="00A04F09"/>
    <w:rsid w:val="00A24F23"/>
    <w:rsid w:val="00A476E5"/>
    <w:rsid w:val="00A90F21"/>
    <w:rsid w:val="00AD2268"/>
    <w:rsid w:val="00B05438"/>
    <w:rsid w:val="00B617F1"/>
    <w:rsid w:val="00B77CC5"/>
    <w:rsid w:val="00C13C8C"/>
    <w:rsid w:val="00C1635D"/>
    <w:rsid w:val="00C61238"/>
    <w:rsid w:val="00C64B86"/>
    <w:rsid w:val="00CC4ADF"/>
    <w:rsid w:val="00D07749"/>
    <w:rsid w:val="00DD4EB0"/>
    <w:rsid w:val="00E10A35"/>
    <w:rsid w:val="00E953A2"/>
    <w:rsid w:val="00EE0669"/>
    <w:rsid w:val="00F27E54"/>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2242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2012-11-08T10:13:00Z</cp:lastPrinted>
  <dcterms:created xsi:type="dcterms:W3CDTF">2013-08-07T09:57:00Z</dcterms:created>
  <dcterms:modified xsi:type="dcterms:W3CDTF">2013-08-07T09:57:00Z</dcterms:modified>
</cp:coreProperties>
</file>