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0A203" w14:textId="77777777" w:rsidR="007D26DB" w:rsidRPr="007D26DB" w:rsidRDefault="007D26DB" w:rsidP="007D26DB">
      <w:pPr>
        <w:spacing w:after="0" w:line="240" w:lineRule="auto"/>
        <w:ind w:left="284"/>
        <w:jc w:val="both"/>
        <w:rPr>
          <w:rFonts w:ascii="Arial" w:hAnsi="Arial" w:cs="Arial"/>
          <w:sz w:val="20"/>
          <w:szCs w:val="20"/>
        </w:rPr>
      </w:pPr>
    </w:p>
    <w:p w14:paraId="79C6E4C3" w14:textId="438AB596" w:rsidR="007D26DB" w:rsidRDefault="007D26DB" w:rsidP="007D26DB">
      <w:pPr>
        <w:spacing w:after="0" w:line="240" w:lineRule="auto"/>
        <w:ind w:left="284"/>
        <w:jc w:val="both"/>
        <w:rPr>
          <w:rFonts w:ascii="Arial" w:hAnsi="Arial" w:cs="Arial"/>
          <w:b/>
          <w:bCs/>
          <w:sz w:val="24"/>
          <w:szCs w:val="24"/>
        </w:rPr>
      </w:pPr>
      <w:r w:rsidRPr="007D26DB">
        <w:rPr>
          <w:rFonts w:ascii="Arial" w:hAnsi="Arial" w:cs="Arial"/>
          <w:b/>
          <w:bCs/>
          <w:sz w:val="24"/>
          <w:szCs w:val="24"/>
        </w:rPr>
        <w:t>Décret n° 2012-1860 du 11 septembre 2012, portant organisation du secrétariat d’Etat aux migrations</w:t>
      </w:r>
      <w:r w:rsidRPr="007D26DB">
        <w:rPr>
          <w:rFonts w:ascii="Arial" w:hAnsi="Arial" w:cs="Arial"/>
          <w:b/>
          <w:bCs/>
          <w:sz w:val="24"/>
          <w:szCs w:val="24"/>
        </w:rPr>
        <w:t xml:space="preserve"> et aux Tunisiens à l'étranger</w:t>
      </w:r>
    </w:p>
    <w:p w14:paraId="2FE77140" w14:textId="77777777" w:rsidR="00335F60" w:rsidRDefault="00335F60" w:rsidP="007D26DB">
      <w:pPr>
        <w:spacing w:after="0" w:line="240" w:lineRule="auto"/>
        <w:ind w:left="284"/>
        <w:jc w:val="both"/>
        <w:rPr>
          <w:rFonts w:ascii="Arial" w:hAnsi="Arial" w:cs="Arial"/>
          <w:b/>
          <w:bCs/>
          <w:sz w:val="24"/>
          <w:szCs w:val="24"/>
        </w:rPr>
      </w:pPr>
      <w:bookmarkStart w:id="0" w:name="_GoBack"/>
      <w:bookmarkEnd w:id="0"/>
    </w:p>
    <w:p w14:paraId="00ECD625" w14:textId="77777777" w:rsidR="007D26DB" w:rsidRPr="007D26DB" w:rsidRDefault="007D26DB" w:rsidP="007D26DB">
      <w:pPr>
        <w:spacing w:after="0" w:line="240" w:lineRule="auto"/>
        <w:ind w:left="284"/>
        <w:jc w:val="both"/>
        <w:rPr>
          <w:rFonts w:ascii="Arial" w:hAnsi="Arial" w:cs="Arial"/>
          <w:b/>
          <w:bCs/>
          <w:sz w:val="24"/>
          <w:szCs w:val="24"/>
        </w:rPr>
      </w:pPr>
    </w:p>
    <w:p w14:paraId="5E42FBCF" w14:textId="77777777" w:rsid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Le chef du gouvernement, </w:t>
      </w:r>
    </w:p>
    <w:p w14:paraId="716FAAA2" w14:textId="77777777" w:rsidR="007D26DB" w:rsidRPr="007D26DB" w:rsidRDefault="007D26DB" w:rsidP="007D26DB">
      <w:pPr>
        <w:spacing w:after="0" w:line="240" w:lineRule="auto"/>
        <w:ind w:left="284"/>
        <w:jc w:val="both"/>
        <w:rPr>
          <w:rFonts w:ascii="Arial" w:hAnsi="Arial" w:cs="Arial"/>
          <w:sz w:val="20"/>
          <w:szCs w:val="20"/>
        </w:rPr>
      </w:pPr>
    </w:p>
    <w:p w14:paraId="4AC30E7D" w14:textId="77777777" w:rsid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Sur proposition du ministre des affaires sociales, </w:t>
      </w:r>
    </w:p>
    <w:p w14:paraId="63F20262" w14:textId="77777777" w:rsidR="007D26DB" w:rsidRPr="007D26DB" w:rsidRDefault="007D26DB" w:rsidP="007D26DB">
      <w:pPr>
        <w:spacing w:after="0" w:line="240" w:lineRule="auto"/>
        <w:ind w:left="284"/>
        <w:jc w:val="both"/>
        <w:rPr>
          <w:rFonts w:ascii="Arial" w:hAnsi="Arial" w:cs="Arial"/>
          <w:sz w:val="20"/>
          <w:szCs w:val="20"/>
        </w:rPr>
      </w:pPr>
    </w:p>
    <w:p w14:paraId="380FA688" w14:textId="77777777" w:rsid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la loi constituante n° 2011-6 du 16 décembre 2011, portant organisation provisoire des pouvoirs publics, </w:t>
      </w:r>
    </w:p>
    <w:p w14:paraId="56525B6B" w14:textId="77777777" w:rsidR="007D26DB" w:rsidRPr="007D26DB" w:rsidRDefault="007D26DB" w:rsidP="007D26DB">
      <w:pPr>
        <w:spacing w:after="0" w:line="240" w:lineRule="auto"/>
        <w:ind w:left="284"/>
        <w:jc w:val="both"/>
        <w:rPr>
          <w:rFonts w:ascii="Arial" w:hAnsi="Arial" w:cs="Arial"/>
          <w:sz w:val="20"/>
          <w:szCs w:val="20"/>
        </w:rPr>
      </w:pPr>
    </w:p>
    <w:p w14:paraId="4B747012" w14:textId="77777777" w:rsid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Vu la loi n° 83-112 du 12 décembre 1983, portant statut général des personnels de l'Etat, des collectivités publiques locales et des Etablissements publics à caractère administratif, ensemble les textes qui l’ont complétée et modifiée,</w:t>
      </w:r>
    </w:p>
    <w:p w14:paraId="3089EE57" w14:textId="77777777" w:rsidR="007D26DB" w:rsidRPr="007D26DB" w:rsidRDefault="007D26DB" w:rsidP="007D26DB">
      <w:pPr>
        <w:spacing w:after="0" w:line="240" w:lineRule="auto"/>
        <w:ind w:left="284"/>
        <w:jc w:val="both"/>
        <w:rPr>
          <w:rFonts w:ascii="Arial" w:hAnsi="Arial" w:cs="Arial"/>
          <w:sz w:val="20"/>
          <w:szCs w:val="20"/>
        </w:rPr>
      </w:pPr>
    </w:p>
    <w:p w14:paraId="4CFC3303" w14:textId="77777777" w:rsid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la loi n° 88-60 du 2 juin 1988, portant loi des finances complémentaire pour la gestion 1988 et notamment son article 14, </w:t>
      </w:r>
    </w:p>
    <w:p w14:paraId="36894A9C" w14:textId="77777777" w:rsidR="007D26DB" w:rsidRPr="007D26DB" w:rsidRDefault="007D26DB" w:rsidP="007D26DB">
      <w:pPr>
        <w:spacing w:after="0" w:line="240" w:lineRule="auto"/>
        <w:ind w:left="284"/>
        <w:jc w:val="both"/>
        <w:rPr>
          <w:rFonts w:ascii="Arial" w:hAnsi="Arial" w:cs="Arial"/>
          <w:sz w:val="20"/>
          <w:szCs w:val="20"/>
        </w:rPr>
      </w:pPr>
    </w:p>
    <w:p w14:paraId="023DD714" w14:textId="77777777" w:rsid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le décret n° 76-843 du 23 septembre 1976, fixant le régime applicable aux membres des cabinets ministériels, tel que modifié par le décret n° 2009-2251 du 31 juillet 2009, </w:t>
      </w:r>
    </w:p>
    <w:p w14:paraId="4C0015B1" w14:textId="77777777" w:rsidR="007D26DB" w:rsidRPr="007D26DB" w:rsidRDefault="007D26DB" w:rsidP="007D26DB">
      <w:pPr>
        <w:spacing w:after="0" w:line="240" w:lineRule="auto"/>
        <w:ind w:left="284"/>
        <w:jc w:val="both"/>
        <w:rPr>
          <w:rFonts w:ascii="Arial" w:hAnsi="Arial" w:cs="Arial"/>
          <w:sz w:val="20"/>
          <w:szCs w:val="20"/>
        </w:rPr>
      </w:pPr>
    </w:p>
    <w:p w14:paraId="1970DDB4" w14:textId="77777777" w:rsid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le décret n° 80-526 du 8 mai 1980, fixant le régime applicable aux chargés de missions dans les cabinets ministériels, tel que modifié par le décret n° 2000-1182 du 22 mai 2000, </w:t>
      </w:r>
    </w:p>
    <w:p w14:paraId="3A4D0B08" w14:textId="77777777" w:rsidR="007D26DB" w:rsidRPr="007D26DB" w:rsidRDefault="007D26DB" w:rsidP="007D26DB">
      <w:pPr>
        <w:spacing w:after="0" w:line="240" w:lineRule="auto"/>
        <w:ind w:left="284"/>
        <w:jc w:val="both"/>
        <w:rPr>
          <w:rFonts w:ascii="Arial" w:hAnsi="Arial" w:cs="Arial"/>
          <w:sz w:val="20"/>
          <w:szCs w:val="20"/>
        </w:rPr>
      </w:pPr>
    </w:p>
    <w:p w14:paraId="19F60827" w14:textId="77777777" w:rsid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le décret n° 96-269 du 14 février 1996, portant organisation du ministère des affaires sociales, tel que complété par le décret n° 2010-1223 du 24 mai 2010, </w:t>
      </w:r>
    </w:p>
    <w:p w14:paraId="38AD02AE" w14:textId="77777777" w:rsidR="007D26DB" w:rsidRPr="007D26DB" w:rsidRDefault="007D26DB" w:rsidP="007D26DB">
      <w:pPr>
        <w:spacing w:after="0" w:line="240" w:lineRule="auto"/>
        <w:ind w:left="284"/>
        <w:jc w:val="both"/>
        <w:rPr>
          <w:rFonts w:ascii="Arial" w:hAnsi="Arial" w:cs="Arial"/>
          <w:sz w:val="20"/>
          <w:szCs w:val="20"/>
        </w:rPr>
      </w:pPr>
    </w:p>
    <w:p w14:paraId="0EA38EC5" w14:textId="77777777"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le décret n° 2012-634 du 8 Juin 2012, relatif à la création du secrétariat d'Etat aux migrations et aux Tunisiens à l'étranger au ministère des affaires sociales et fixant ses attributions, </w:t>
      </w:r>
    </w:p>
    <w:p w14:paraId="604C9FB5" w14:textId="77777777" w:rsidR="007D26DB" w:rsidRDefault="007D26DB" w:rsidP="007D26DB">
      <w:pPr>
        <w:spacing w:after="0" w:line="240" w:lineRule="auto"/>
        <w:ind w:left="284"/>
        <w:jc w:val="both"/>
        <w:rPr>
          <w:rFonts w:ascii="Arial" w:hAnsi="Arial" w:cs="Arial"/>
          <w:sz w:val="20"/>
          <w:szCs w:val="20"/>
        </w:rPr>
      </w:pPr>
    </w:p>
    <w:p w14:paraId="33A8E3CC" w14:textId="77777777"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le décret n° 2006-1245 du 24 avril 2006, fixant le régime d'attribution et de retrait des emplois fonctionnels d'administration centrale, </w:t>
      </w:r>
    </w:p>
    <w:p w14:paraId="7697BC11" w14:textId="77777777" w:rsidR="007D26DB" w:rsidRDefault="007D26DB" w:rsidP="007D26DB">
      <w:pPr>
        <w:spacing w:after="0" w:line="240" w:lineRule="auto"/>
        <w:ind w:left="284"/>
        <w:jc w:val="both"/>
        <w:rPr>
          <w:rFonts w:ascii="Arial" w:hAnsi="Arial" w:cs="Arial"/>
          <w:sz w:val="20"/>
          <w:szCs w:val="20"/>
        </w:rPr>
      </w:pPr>
    </w:p>
    <w:p w14:paraId="7137E6D8" w14:textId="77777777"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l'arrêté républicain n° 2011-2 du 24 décembre 2011, relatif à la nomination du chef du gouvernement, </w:t>
      </w:r>
    </w:p>
    <w:p w14:paraId="3616C5CC" w14:textId="77777777" w:rsidR="007D26DB" w:rsidRDefault="007D26DB" w:rsidP="007D26DB">
      <w:pPr>
        <w:spacing w:after="0" w:line="240" w:lineRule="auto"/>
        <w:ind w:left="284"/>
        <w:jc w:val="both"/>
        <w:rPr>
          <w:rFonts w:ascii="Arial" w:hAnsi="Arial" w:cs="Arial"/>
          <w:sz w:val="20"/>
          <w:szCs w:val="20"/>
        </w:rPr>
      </w:pPr>
    </w:p>
    <w:p w14:paraId="089FCF3A" w14:textId="77777777"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le décret n° 2011-4796 du 23 décembre 2011, relatif à la nomination des membres du gouvernement, </w:t>
      </w:r>
    </w:p>
    <w:p w14:paraId="22AEF30F" w14:textId="77777777" w:rsidR="007D26DB" w:rsidRDefault="007D26DB" w:rsidP="007D26DB">
      <w:pPr>
        <w:spacing w:after="0" w:line="240" w:lineRule="auto"/>
        <w:ind w:left="284"/>
        <w:jc w:val="both"/>
        <w:rPr>
          <w:rFonts w:ascii="Arial" w:hAnsi="Arial" w:cs="Arial"/>
          <w:sz w:val="20"/>
          <w:szCs w:val="20"/>
        </w:rPr>
      </w:pPr>
    </w:p>
    <w:p w14:paraId="75DDA721" w14:textId="77777777"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l'avis du ministre des affaires étrangères, </w:t>
      </w:r>
    </w:p>
    <w:p w14:paraId="2CAF5906" w14:textId="77777777" w:rsidR="007D26DB" w:rsidRDefault="007D26DB" w:rsidP="007D26DB">
      <w:pPr>
        <w:spacing w:after="0" w:line="240" w:lineRule="auto"/>
        <w:ind w:left="284"/>
        <w:jc w:val="both"/>
        <w:rPr>
          <w:rFonts w:ascii="Arial" w:hAnsi="Arial" w:cs="Arial"/>
          <w:sz w:val="20"/>
          <w:szCs w:val="20"/>
        </w:rPr>
      </w:pPr>
    </w:p>
    <w:p w14:paraId="53618CA1" w14:textId="77777777"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l'avis du ministre de la formation professionnelle et de l'emploi, </w:t>
      </w:r>
    </w:p>
    <w:p w14:paraId="5DF6F519" w14:textId="77777777" w:rsidR="007D26DB" w:rsidRDefault="007D26DB" w:rsidP="007D26DB">
      <w:pPr>
        <w:spacing w:after="0" w:line="240" w:lineRule="auto"/>
        <w:ind w:left="284"/>
        <w:jc w:val="both"/>
        <w:rPr>
          <w:rFonts w:ascii="Arial" w:hAnsi="Arial" w:cs="Arial"/>
          <w:sz w:val="20"/>
          <w:szCs w:val="20"/>
        </w:rPr>
      </w:pPr>
    </w:p>
    <w:p w14:paraId="605CEF34" w14:textId="77777777"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l'avis du ministre des finances, </w:t>
      </w:r>
    </w:p>
    <w:p w14:paraId="6625A994" w14:textId="77777777" w:rsidR="007D26DB" w:rsidRDefault="007D26DB" w:rsidP="007D26DB">
      <w:pPr>
        <w:spacing w:after="0" w:line="240" w:lineRule="auto"/>
        <w:ind w:left="284"/>
        <w:jc w:val="both"/>
        <w:rPr>
          <w:rFonts w:ascii="Arial" w:hAnsi="Arial" w:cs="Arial"/>
          <w:sz w:val="20"/>
          <w:szCs w:val="20"/>
        </w:rPr>
      </w:pPr>
    </w:p>
    <w:p w14:paraId="68517B40" w14:textId="77777777"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Vu l'avis du tribunal administratif,</w:t>
      </w:r>
    </w:p>
    <w:p w14:paraId="4DE78960" w14:textId="77777777" w:rsidR="007D26DB" w:rsidRDefault="007D26DB" w:rsidP="007D26DB">
      <w:pPr>
        <w:spacing w:after="0" w:line="240" w:lineRule="auto"/>
        <w:ind w:left="284"/>
        <w:jc w:val="both"/>
        <w:rPr>
          <w:rFonts w:ascii="Arial" w:hAnsi="Arial" w:cs="Arial"/>
          <w:sz w:val="20"/>
          <w:szCs w:val="20"/>
        </w:rPr>
      </w:pPr>
    </w:p>
    <w:p w14:paraId="18F22C88" w14:textId="77777777"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Vu la délibération du conseil des ministres et après information du Président de la République. </w:t>
      </w:r>
    </w:p>
    <w:p w14:paraId="468E1652" w14:textId="77777777" w:rsidR="007D26DB" w:rsidRDefault="007D26DB" w:rsidP="007D26DB">
      <w:pPr>
        <w:spacing w:after="0" w:line="240" w:lineRule="auto"/>
        <w:ind w:left="284"/>
        <w:jc w:val="both"/>
        <w:rPr>
          <w:rFonts w:ascii="Arial" w:hAnsi="Arial" w:cs="Arial"/>
          <w:sz w:val="20"/>
          <w:szCs w:val="20"/>
        </w:rPr>
      </w:pPr>
    </w:p>
    <w:p w14:paraId="1DA30E90" w14:textId="77777777" w:rsid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Décrète :</w:t>
      </w:r>
    </w:p>
    <w:p w14:paraId="4A92B8D0" w14:textId="77777777" w:rsidR="007D26DB" w:rsidRPr="007D26DB" w:rsidRDefault="007D26DB" w:rsidP="007D26DB">
      <w:pPr>
        <w:spacing w:after="0" w:line="240" w:lineRule="auto"/>
        <w:ind w:left="284"/>
        <w:jc w:val="both"/>
        <w:rPr>
          <w:rFonts w:ascii="Arial" w:hAnsi="Arial" w:cs="Arial"/>
          <w:sz w:val="20"/>
          <w:szCs w:val="20"/>
        </w:rPr>
      </w:pPr>
    </w:p>
    <w:p w14:paraId="266AD5B6" w14:textId="4ECD5D4C" w:rsidR="007D26DB" w:rsidRDefault="007D26DB" w:rsidP="007D26DB">
      <w:pPr>
        <w:spacing w:after="0" w:line="240" w:lineRule="auto"/>
        <w:ind w:left="284"/>
        <w:jc w:val="center"/>
        <w:rPr>
          <w:rFonts w:ascii="Arial" w:hAnsi="Arial" w:cs="Arial"/>
          <w:b/>
          <w:bCs/>
          <w:sz w:val="20"/>
          <w:szCs w:val="20"/>
        </w:rPr>
      </w:pPr>
      <w:r w:rsidRPr="007D26DB">
        <w:rPr>
          <w:rFonts w:ascii="Arial" w:hAnsi="Arial" w:cs="Arial"/>
          <w:b/>
          <w:bCs/>
          <w:sz w:val="20"/>
          <w:szCs w:val="20"/>
        </w:rPr>
        <w:t>CHAPITRE PREMIER</w:t>
      </w:r>
      <w:r w:rsidRPr="007D26DB">
        <w:rPr>
          <w:rFonts w:ascii="Arial" w:hAnsi="Arial" w:cs="Arial"/>
          <w:b/>
          <w:bCs/>
          <w:sz w:val="20"/>
          <w:szCs w:val="20"/>
        </w:rPr>
        <w:t xml:space="preserve"> – </w:t>
      </w:r>
      <w:r w:rsidRPr="007D26DB">
        <w:rPr>
          <w:rFonts w:ascii="Arial" w:hAnsi="Arial" w:cs="Arial"/>
          <w:b/>
          <w:bCs/>
          <w:sz w:val="20"/>
          <w:szCs w:val="20"/>
        </w:rPr>
        <w:t>Dispositions générales</w:t>
      </w:r>
    </w:p>
    <w:p w14:paraId="06822A05" w14:textId="77777777" w:rsidR="007D26DB" w:rsidRPr="007D26DB" w:rsidRDefault="007D26DB" w:rsidP="007D26DB">
      <w:pPr>
        <w:spacing w:after="0" w:line="240" w:lineRule="auto"/>
        <w:ind w:left="284"/>
        <w:jc w:val="center"/>
        <w:rPr>
          <w:rFonts w:ascii="Arial" w:hAnsi="Arial" w:cs="Arial"/>
          <w:b/>
          <w:bCs/>
          <w:sz w:val="20"/>
          <w:szCs w:val="20"/>
        </w:rPr>
      </w:pPr>
    </w:p>
    <w:p w14:paraId="6B9569BA" w14:textId="626240BA"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b/>
          <w:bCs/>
          <w:i/>
          <w:iCs/>
          <w:sz w:val="20"/>
          <w:szCs w:val="20"/>
        </w:rPr>
        <w:t>Article premier –</w:t>
      </w:r>
      <w:r w:rsidRPr="007D26DB">
        <w:rPr>
          <w:rFonts w:ascii="Arial" w:hAnsi="Arial" w:cs="Arial"/>
          <w:sz w:val="20"/>
          <w:szCs w:val="20"/>
        </w:rPr>
        <w:t xml:space="preserve"> </w:t>
      </w:r>
      <w:r w:rsidRPr="007D26DB">
        <w:rPr>
          <w:rFonts w:ascii="Arial" w:hAnsi="Arial" w:cs="Arial"/>
          <w:sz w:val="20"/>
          <w:szCs w:val="20"/>
        </w:rPr>
        <w:t xml:space="preserve">Le secrétariat d'Etat aux migrations et aux Tunisiens à l'étranger comprend les structures suivantes : </w:t>
      </w:r>
    </w:p>
    <w:p w14:paraId="5E05F0C4" w14:textId="0D56456F" w:rsidR="007D26DB" w:rsidRPr="007D26DB" w:rsidRDefault="007D26DB" w:rsidP="007D26DB">
      <w:pPr>
        <w:pStyle w:val="Paragraphedeliste"/>
        <w:numPr>
          <w:ilvl w:val="0"/>
          <w:numId w:val="13"/>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le cabinet, </w:t>
      </w:r>
    </w:p>
    <w:p w14:paraId="2A3CBD99" w14:textId="77777777" w:rsidR="007D26DB" w:rsidRPr="007D26DB" w:rsidRDefault="007D26DB" w:rsidP="007D26DB">
      <w:pPr>
        <w:pStyle w:val="Paragraphedeliste"/>
        <w:numPr>
          <w:ilvl w:val="0"/>
          <w:numId w:val="13"/>
        </w:numPr>
        <w:spacing w:before="120" w:after="0" w:line="240" w:lineRule="auto"/>
        <w:ind w:left="927"/>
        <w:jc w:val="both"/>
        <w:rPr>
          <w:rFonts w:ascii="Arial" w:hAnsi="Arial" w:cs="Arial"/>
          <w:sz w:val="20"/>
          <w:szCs w:val="20"/>
        </w:rPr>
      </w:pPr>
      <w:r w:rsidRPr="007D26DB">
        <w:rPr>
          <w:rFonts w:ascii="Arial" w:hAnsi="Arial" w:cs="Arial"/>
          <w:sz w:val="20"/>
          <w:szCs w:val="20"/>
        </w:rPr>
        <w:t>la commission techniqu</w:t>
      </w:r>
      <w:r w:rsidRPr="007D26DB">
        <w:rPr>
          <w:rFonts w:ascii="Arial" w:hAnsi="Arial" w:cs="Arial"/>
          <w:sz w:val="20"/>
          <w:szCs w:val="20"/>
        </w:rPr>
        <w:t>e consultative de la migration,</w:t>
      </w:r>
    </w:p>
    <w:p w14:paraId="045E0988" w14:textId="77425E49" w:rsidR="007D26DB" w:rsidRDefault="007D26DB" w:rsidP="007D26DB">
      <w:pPr>
        <w:pStyle w:val="Paragraphedeliste"/>
        <w:numPr>
          <w:ilvl w:val="0"/>
          <w:numId w:val="13"/>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 les services spécifiques. </w:t>
      </w:r>
    </w:p>
    <w:p w14:paraId="79C8E9D6" w14:textId="77777777" w:rsidR="007D26DB" w:rsidRPr="007D26DB" w:rsidRDefault="007D26DB" w:rsidP="007D26DB">
      <w:pPr>
        <w:pStyle w:val="Paragraphedeliste"/>
        <w:spacing w:after="0" w:line="240" w:lineRule="auto"/>
        <w:ind w:left="927"/>
        <w:jc w:val="both"/>
        <w:rPr>
          <w:rFonts w:ascii="Arial" w:hAnsi="Arial" w:cs="Arial"/>
          <w:sz w:val="20"/>
          <w:szCs w:val="20"/>
        </w:rPr>
      </w:pPr>
    </w:p>
    <w:p w14:paraId="71293ED2" w14:textId="2EC281BE" w:rsidR="007D26DB" w:rsidRDefault="007D26DB" w:rsidP="007D26DB">
      <w:pPr>
        <w:spacing w:after="0" w:line="240" w:lineRule="auto"/>
        <w:ind w:left="284"/>
        <w:jc w:val="center"/>
        <w:rPr>
          <w:rFonts w:ascii="Arial" w:hAnsi="Arial" w:cs="Arial"/>
          <w:b/>
          <w:bCs/>
          <w:sz w:val="20"/>
          <w:szCs w:val="20"/>
        </w:rPr>
      </w:pPr>
      <w:r w:rsidRPr="007D26DB">
        <w:rPr>
          <w:rFonts w:ascii="Arial" w:hAnsi="Arial" w:cs="Arial"/>
          <w:b/>
          <w:bCs/>
          <w:sz w:val="20"/>
          <w:szCs w:val="20"/>
        </w:rPr>
        <w:lastRenderedPageBreak/>
        <w:t xml:space="preserve">CHAPITRE 2 – </w:t>
      </w:r>
      <w:r w:rsidRPr="007D26DB">
        <w:rPr>
          <w:rFonts w:ascii="Arial" w:hAnsi="Arial" w:cs="Arial"/>
          <w:b/>
          <w:bCs/>
          <w:sz w:val="20"/>
          <w:szCs w:val="20"/>
        </w:rPr>
        <w:t>Le cabinet</w:t>
      </w:r>
    </w:p>
    <w:p w14:paraId="53FB1796" w14:textId="77777777" w:rsidR="007D26DB" w:rsidRPr="007D26DB" w:rsidRDefault="007D26DB" w:rsidP="007D26DB">
      <w:pPr>
        <w:spacing w:after="0" w:line="240" w:lineRule="auto"/>
        <w:ind w:left="284"/>
        <w:jc w:val="center"/>
        <w:rPr>
          <w:rFonts w:ascii="Arial" w:hAnsi="Arial" w:cs="Arial"/>
          <w:b/>
          <w:bCs/>
          <w:sz w:val="20"/>
          <w:szCs w:val="20"/>
        </w:rPr>
      </w:pPr>
    </w:p>
    <w:p w14:paraId="565C004A" w14:textId="3C230058"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b/>
          <w:bCs/>
          <w:i/>
          <w:iCs/>
          <w:sz w:val="20"/>
          <w:szCs w:val="20"/>
        </w:rPr>
        <w:t>Art. 2 –</w:t>
      </w:r>
      <w:r w:rsidRPr="007D26DB">
        <w:rPr>
          <w:rFonts w:ascii="Arial" w:hAnsi="Arial" w:cs="Arial"/>
          <w:sz w:val="20"/>
          <w:szCs w:val="20"/>
        </w:rPr>
        <w:t xml:space="preserve"> </w:t>
      </w:r>
      <w:r w:rsidRPr="007D26DB">
        <w:rPr>
          <w:rFonts w:ascii="Arial" w:hAnsi="Arial" w:cs="Arial"/>
          <w:sz w:val="20"/>
          <w:szCs w:val="20"/>
        </w:rPr>
        <w:t xml:space="preserve">Le cabinet est chargé d'accomplir les tâches qui lui sont confiées par le secrétaire d'Etat et s'engage notamment à : </w:t>
      </w:r>
    </w:p>
    <w:p w14:paraId="2283F66B" w14:textId="52FF3AF0" w:rsidR="007D26DB" w:rsidRPr="007D26DB" w:rsidRDefault="007D26DB" w:rsidP="007D26DB">
      <w:pPr>
        <w:pStyle w:val="Paragraphedeliste"/>
        <w:numPr>
          <w:ilvl w:val="0"/>
          <w:numId w:val="15"/>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étudier toutes les questions soumises au secrétaire d'Etat pour y statuer, y signer ou assurer le suivi, </w:t>
      </w:r>
    </w:p>
    <w:p w14:paraId="3B91310D" w14:textId="5A51D8F9" w:rsidR="007D26DB" w:rsidRPr="007D26DB" w:rsidRDefault="007D26DB" w:rsidP="007D26DB">
      <w:pPr>
        <w:pStyle w:val="Paragraphedeliste"/>
        <w:numPr>
          <w:ilvl w:val="0"/>
          <w:numId w:val="15"/>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informer le secrétaire d'Etat de l'activité générale du département, </w:t>
      </w:r>
    </w:p>
    <w:p w14:paraId="4C1392D1" w14:textId="2E41928D" w:rsidR="007D26DB" w:rsidRPr="007D26DB" w:rsidRDefault="007D26DB" w:rsidP="007D26DB">
      <w:pPr>
        <w:pStyle w:val="Paragraphedeliste"/>
        <w:numPr>
          <w:ilvl w:val="0"/>
          <w:numId w:val="15"/>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notifier et suivre les directives du secrétaire d'Etat aux responsables y relevant, </w:t>
      </w:r>
    </w:p>
    <w:p w14:paraId="25F446A0" w14:textId="19091506" w:rsidR="007D26DB" w:rsidRPr="007D26DB" w:rsidRDefault="007D26DB" w:rsidP="007D26DB">
      <w:pPr>
        <w:pStyle w:val="Paragraphedeliste"/>
        <w:numPr>
          <w:ilvl w:val="0"/>
          <w:numId w:val="15"/>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assurer les relations avec les instances officielles, les organisations nationales et internationales opérant dans le domaine de la migration, </w:t>
      </w:r>
    </w:p>
    <w:p w14:paraId="274634C7" w14:textId="6C5E2D2E" w:rsidR="007D26DB" w:rsidRPr="007D26DB" w:rsidRDefault="007D26DB" w:rsidP="007D26DB">
      <w:pPr>
        <w:pStyle w:val="Paragraphedeliste"/>
        <w:numPr>
          <w:ilvl w:val="0"/>
          <w:numId w:val="15"/>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coordonner avec les services communs du ministère de tutelle. </w:t>
      </w:r>
    </w:p>
    <w:p w14:paraId="4B63892A" w14:textId="77777777" w:rsidR="007D26DB" w:rsidRDefault="007D26DB" w:rsidP="007D26DB">
      <w:pPr>
        <w:spacing w:before="120" w:after="0" w:line="240" w:lineRule="auto"/>
        <w:ind w:left="284"/>
        <w:jc w:val="both"/>
        <w:rPr>
          <w:rFonts w:ascii="Arial" w:hAnsi="Arial" w:cs="Arial"/>
          <w:sz w:val="20"/>
          <w:szCs w:val="20"/>
        </w:rPr>
      </w:pPr>
      <w:r w:rsidRPr="007D26DB">
        <w:rPr>
          <w:rFonts w:ascii="Arial" w:hAnsi="Arial" w:cs="Arial"/>
          <w:sz w:val="20"/>
          <w:szCs w:val="20"/>
        </w:rPr>
        <w:t xml:space="preserve">Le cabinet est dirigé par un coordonnateur général assisté par des chargés de mission. </w:t>
      </w:r>
    </w:p>
    <w:p w14:paraId="62C4C07D" w14:textId="77777777" w:rsidR="007D26DB" w:rsidRPr="007D26DB" w:rsidRDefault="007D26DB" w:rsidP="007D26DB">
      <w:pPr>
        <w:spacing w:after="0" w:line="240" w:lineRule="auto"/>
        <w:ind w:left="284"/>
        <w:jc w:val="both"/>
        <w:rPr>
          <w:rFonts w:ascii="Arial" w:hAnsi="Arial" w:cs="Arial"/>
          <w:sz w:val="20"/>
          <w:szCs w:val="20"/>
        </w:rPr>
      </w:pPr>
    </w:p>
    <w:p w14:paraId="2C3359BD" w14:textId="70473990" w:rsidR="007D26DB" w:rsidRPr="007D26DB" w:rsidRDefault="007D26DB" w:rsidP="007D26DB">
      <w:pPr>
        <w:spacing w:after="0" w:line="240" w:lineRule="auto"/>
        <w:ind w:left="284"/>
        <w:jc w:val="center"/>
        <w:rPr>
          <w:rFonts w:ascii="Arial" w:hAnsi="Arial" w:cs="Arial"/>
          <w:b/>
          <w:bCs/>
          <w:sz w:val="20"/>
          <w:szCs w:val="20"/>
        </w:rPr>
      </w:pPr>
      <w:r w:rsidRPr="007D26DB">
        <w:rPr>
          <w:rFonts w:ascii="Arial" w:hAnsi="Arial" w:cs="Arial"/>
          <w:b/>
          <w:bCs/>
          <w:sz w:val="20"/>
          <w:szCs w:val="20"/>
        </w:rPr>
        <w:t>CHAPITRE 3</w:t>
      </w:r>
      <w:r w:rsidRPr="007D26DB">
        <w:rPr>
          <w:rFonts w:ascii="Arial" w:hAnsi="Arial" w:cs="Arial"/>
          <w:b/>
          <w:bCs/>
          <w:sz w:val="20"/>
          <w:szCs w:val="20"/>
        </w:rPr>
        <w:t xml:space="preserve"> – </w:t>
      </w:r>
      <w:r w:rsidRPr="007D26DB">
        <w:rPr>
          <w:rFonts w:ascii="Arial" w:hAnsi="Arial" w:cs="Arial"/>
          <w:b/>
          <w:bCs/>
          <w:sz w:val="20"/>
          <w:szCs w:val="20"/>
        </w:rPr>
        <w:t>La commission technique consultative de la migration</w:t>
      </w:r>
    </w:p>
    <w:p w14:paraId="311963F0" w14:textId="77777777" w:rsidR="007D26DB" w:rsidRDefault="007D26DB" w:rsidP="007D26DB">
      <w:pPr>
        <w:spacing w:after="0" w:line="240" w:lineRule="auto"/>
        <w:ind w:left="284"/>
        <w:jc w:val="both"/>
        <w:rPr>
          <w:rFonts w:ascii="Arial" w:hAnsi="Arial" w:cs="Arial"/>
          <w:b/>
          <w:bCs/>
          <w:i/>
          <w:iCs/>
          <w:sz w:val="20"/>
          <w:szCs w:val="20"/>
        </w:rPr>
      </w:pPr>
    </w:p>
    <w:p w14:paraId="49067968" w14:textId="7ABEE1F6"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b/>
          <w:bCs/>
          <w:i/>
          <w:iCs/>
          <w:sz w:val="20"/>
          <w:szCs w:val="20"/>
        </w:rPr>
        <w:t xml:space="preserve">Art. 3 – </w:t>
      </w:r>
      <w:r w:rsidRPr="007D26DB">
        <w:rPr>
          <w:rFonts w:ascii="Arial" w:hAnsi="Arial" w:cs="Arial"/>
          <w:b/>
          <w:bCs/>
          <w:i/>
          <w:iCs/>
          <w:sz w:val="20"/>
          <w:szCs w:val="20"/>
        </w:rPr>
        <w:t>La commission technique consultative de la migration est appelée à accomplir les tâches suivantes</w:t>
      </w:r>
      <w:r w:rsidRPr="007D26DB">
        <w:rPr>
          <w:rFonts w:ascii="Arial" w:hAnsi="Arial" w:cs="Arial"/>
          <w:sz w:val="20"/>
          <w:szCs w:val="20"/>
        </w:rPr>
        <w:t xml:space="preserve"> : </w:t>
      </w:r>
    </w:p>
    <w:p w14:paraId="186C6B24" w14:textId="6CD3A5A9" w:rsidR="007D26DB" w:rsidRPr="007D26DB" w:rsidRDefault="007D26DB" w:rsidP="007D26DB">
      <w:pPr>
        <w:pStyle w:val="Paragraphedeliste"/>
        <w:numPr>
          <w:ilvl w:val="0"/>
          <w:numId w:val="16"/>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examiner et émettre un avis sur toutes les questions qui lui sont soumises par le secrétaire d'Etat aux migrations et aux Tunisiens à l'étranger, </w:t>
      </w:r>
    </w:p>
    <w:p w14:paraId="12570E2F" w14:textId="52E245C8" w:rsidR="007D26DB" w:rsidRPr="007D26DB" w:rsidRDefault="007D26DB" w:rsidP="007D26DB">
      <w:pPr>
        <w:pStyle w:val="Paragraphedeliste"/>
        <w:numPr>
          <w:ilvl w:val="0"/>
          <w:numId w:val="16"/>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présenter des propositions pour le développement de la politique de la migration et des mécanismes y afférents, afin de promouvoir les conditions des Tunisiens à l'étranger, </w:t>
      </w:r>
    </w:p>
    <w:p w14:paraId="6A41D215" w14:textId="77777777" w:rsidR="007D26DB" w:rsidRPr="007D26DB" w:rsidRDefault="007D26DB" w:rsidP="007D26DB">
      <w:pPr>
        <w:pStyle w:val="Paragraphedeliste"/>
        <w:numPr>
          <w:ilvl w:val="0"/>
          <w:numId w:val="16"/>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assurer le suivi des principaux événements relatifs à la migration et aux Tunisiens à l'étranger à l'échelle nationale et internationale, </w:t>
      </w:r>
    </w:p>
    <w:p w14:paraId="00E3AC5A" w14:textId="7A256B7B" w:rsidR="007D26DB" w:rsidRPr="007D26DB" w:rsidRDefault="007D26DB" w:rsidP="007D26DB">
      <w:pPr>
        <w:pStyle w:val="Paragraphedeliste"/>
        <w:numPr>
          <w:ilvl w:val="0"/>
          <w:numId w:val="16"/>
        </w:numPr>
        <w:spacing w:after="0" w:line="240" w:lineRule="auto"/>
        <w:ind w:left="927"/>
        <w:jc w:val="both"/>
        <w:rPr>
          <w:rFonts w:ascii="Arial" w:hAnsi="Arial" w:cs="Arial"/>
          <w:sz w:val="20"/>
          <w:szCs w:val="20"/>
        </w:rPr>
      </w:pPr>
      <w:r w:rsidRPr="007D26DB">
        <w:rPr>
          <w:rFonts w:ascii="Arial" w:hAnsi="Arial" w:cs="Arial"/>
          <w:sz w:val="20"/>
          <w:szCs w:val="20"/>
        </w:rPr>
        <w:t xml:space="preserve"> assurer le suivi des flux migratoires de retour et la migration lointaine. </w:t>
      </w:r>
    </w:p>
    <w:p w14:paraId="361BB093" w14:textId="77777777" w:rsidR="007D26DB" w:rsidRDefault="007D26DB" w:rsidP="007D26DB">
      <w:pPr>
        <w:spacing w:after="0" w:line="240" w:lineRule="auto"/>
        <w:ind w:left="284"/>
        <w:jc w:val="both"/>
        <w:rPr>
          <w:rFonts w:ascii="Arial" w:hAnsi="Arial" w:cs="Arial"/>
          <w:b/>
          <w:bCs/>
          <w:i/>
          <w:iCs/>
          <w:sz w:val="20"/>
          <w:szCs w:val="20"/>
        </w:rPr>
      </w:pPr>
    </w:p>
    <w:p w14:paraId="39579E9C" w14:textId="147AB785"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b/>
          <w:bCs/>
          <w:i/>
          <w:iCs/>
          <w:sz w:val="20"/>
          <w:szCs w:val="20"/>
        </w:rPr>
        <w:t>Art. 4 –</w:t>
      </w:r>
      <w:r w:rsidRPr="007D26DB">
        <w:rPr>
          <w:rFonts w:ascii="Arial" w:hAnsi="Arial" w:cs="Arial"/>
          <w:sz w:val="20"/>
          <w:szCs w:val="20"/>
        </w:rPr>
        <w:t xml:space="preserve"> </w:t>
      </w:r>
      <w:r w:rsidRPr="007D26DB">
        <w:rPr>
          <w:rFonts w:ascii="Arial" w:hAnsi="Arial" w:cs="Arial"/>
          <w:sz w:val="20"/>
          <w:szCs w:val="20"/>
        </w:rPr>
        <w:t xml:space="preserve">La composition et les attributions de la commission technique consultative de la migration sont fixées par arrêté du ministère de tutelle et sur proposition du secrétaire d'Etat aux migrations et aux Tunisiens à l'étranger. </w:t>
      </w:r>
    </w:p>
    <w:p w14:paraId="60734D97" w14:textId="77777777" w:rsidR="007D26DB" w:rsidRDefault="007D26DB" w:rsidP="007D26DB">
      <w:pPr>
        <w:spacing w:after="0" w:line="240" w:lineRule="auto"/>
        <w:ind w:left="284"/>
        <w:jc w:val="center"/>
        <w:rPr>
          <w:rFonts w:ascii="Arial" w:hAnsi="Arial" w:cs="Arial"/>
          <w:b/>
          <w:bCs/>
          <w:sz w:val="20"/>
          <w:szCs w:val="20"/>
        </w:rPr>
      </w:pPr>
    </w:p>
    <w:p w14:paraId="6ED264AC" w14:textId="6D137FAD" w:rsidR="007D26DB" w:rsidRPr="007D26DB" w:rsidRDefault="007D26DB" w:rsidP="007D26DB">
      <w:pPr>
        <w:spacing w:after="0" w:line="240" w:lineRule="auto"/>
        <w:ind w:left="284"/>
        <w:jc w:val="center"/>
        <w:rPr>
          <w:rFonts w:ascii="Arial" w:hAnsi="Arial" w:cs="Arial"/>
          <w:b/>
          <w:bCs/>
          <w:sz w:val="20"/>
          <w:szCs w:val="20"/>
        </w:rPr>
      </w:pPr>
      <w:r w:rsidRPr="007D26DB">
        <w:rPr>
          <w:rFonts w:ascii="Arial" w:hAnsi="Arial" w:cs="Arial"/>
          <w:b/>
          <w:bCs/>
          <w:sz w:val="20"/>
          <w:szCs w:val="20"/>
        </w:rPr>
        <w:t>CHAPITRE 4</w:t>
      </w:r>
      <w:r w:rsidRPr="007D26DB">
        <w:rPr>
          <w:rFonts w:ascii="Arial" w:hAnsi="Arial" w:cs="Arial"/>
          <w:b/>
          <w:bCs/>
          <w:sz w:val="20"/>
          <w:szCs w:val="20"/>
        </w:rPr>
        <w:t xml:space="preserve"> – </w:t>
      </w:r>
      <w:r w:rsidRPr="007D26DB">
        <w:rPr>
          <w:rFonts w:ascii="Arial" w:hAnsi="Arial" w:cs="Arial"/>
          <w:b/>
          <w:bCs/>
          <w:sz w:val="20"/>
          <w:szCs w:val="20"/>
        </w:rPr>
        <w:t>Les services spécifiques</w:t>
      </w:r>
    </w:p>
    <w:p w14:paraId="5F51CEB1" w14:textId="77777777" w:rsidR="007D26DB" w:rsidRDefault="007D26DB" w:rsidP="007D26DB">
      <w:pPr>
        <w:spacing w:after="0" w:line="240" w:lineRule="auto"/>
        <w:ind w:left="284"/>
        <w:jc w:val="both"/>
        <w:rPr>
          <w:rFonts w:ascii="Arial" w:hAnsi="Arial" w:cs="Arial"/>
          <w:b/>
          <w:bCs/>
          <w:i/>
          <w:iCs/>
          <w:sz w:val="20"/>
          <w:szCs w:val="20"/>
        </w:rPr>
      </w:pPr>
    </w:p>
    <w:p w14:paraId="186D100D" w14:textId="6B319150"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b/>
          <w:bCs/>
          <w:i/>
          <w:iCs/>
          <w:sz w:val="20"/>
          <w:szCs w:val="20"/>
        </w:rPr>
        <w:t>Art. 5 –</w:t>
      </w:r>
      <w:r w:rsidRPr="007D26DB">
        <w:rPr>
          <w:rFonts w:ascii="Arial" w:hAnsi="Arial" w:cs="Arial"/>
          <w:sz w:val="20"/>
          <w:szCs w:val="20"/>
        </w:rPr>
        <w:t xml:space="preserve"> </w:t>
      </w:r>
      <w:r w:rsidRPr="007D26DB">
        <w:rPr>
          <w:rFonts w:ascii="Arial" w:hAnsi="Arial" w:cs="Arial"/>
          <w:sz w:val="20"/>
          <w:szCs w:val="20"/>
        </w:rPr>
        <w:t xml:space="preserve">Les services spécifiques du secrétariat d'Etat aux migrations et aux Tunisiens à l'étranger comprennent les structures suivantes : </w:t>
      </w:r>
    </w:p>
    <w:p w14:paraId="2B0D760D" w14:textId="67A096B5" w:rsidR="007D26DB" w:rsidRPr="007D26DB" w:rsidRDefault="007D26DB" w:rsidP="007D26DB">
      <w:pPr>
        <w:pStyle w:val="Paragraphedeliste"/>
        <w:numPr>
          <w:ilvl w:val="0"/>
          <w:numId w:val="20"/>
        </w:numPr>
        <w:spacing w:before="120" w:after="0" w:line="240" w:lineRule="auto"/>
        <w:jc w:val="both"/>
        <w:rPr>
          <w:rFonts w:ascii="Arial" w:hAnsi="Arial" w:cs="Arial"/>
          <w:sz w:val="20"/>
          <w:szCs w:val="20"/>
        </w:rPr>
      </w:pPr>
      <w:r w:rsidRPr="007D26DB">
        <w:rPr>
          <w:rFonts w:ascii="Arial" w:hAnsi="Arial" w:cs="Arial"/>
          <w:sz w:val="20"/>
          <w:szCs w:val="20"/>
        </w:rPr>
        <w:t xml:space="preserve">la direction générale de la coopération internationale en matière de migration, </w:t>
      </w:r>
    </w:p>
    <w:p w14:paraId="3E769475" w14:textId="6720BDC9" w:rsidR="007D26DB" w:rsidRPr="007D26DB" w:rsidRDefault="007D26DB" w:rsidP="007D26DB">
      <w:pPr>
        <w:pStyle w:val="Paragraphedeliste"/>
        <w:numPr>
          <w:ilvl w:val="0"/>
          <w:numId w:val="20"/>
        </w:numPr>
        <w:spacing w:before="120" w:after="0" w:line="240" w:lineRule="auto"/>
        <w:jc w:val="both"/>
        <w:rPr>
          <w:rFonts w:ascii="Arial" w:hAnsi="Arial" w:cs="Arial"/>
          <w:sz w:val="20"/>
          <w:szCs w:val="20"/>
        </w:rPr>
      </w:pPr>
      <w:r w:rsidRPr="007D26DB">
        <w:rPr>
          <w:rFonts w:ascii="Arial" w:hAnsi="Arial" w:cs="Arial"/>
          <w:sz w:val="20"/>
          <w:szCs w:val="20"/>
        </w:rPr>
        <w:t xml:space="preserve">la direction générale de la planification et du suivi. </w:t>
      </w:r>
    </w:p>
    <w:p w14:paraId="42748C45" w14:textId="77777777" w:rsidR="007D26DB" w:rsidRDefault="007D26DB" w:rsidP="007D26DB">
      <w:pPr>
        <w:spacing w:after="0" w:line="240" w:lineRule="auto"/>
        <w:ind w:left="284"/>
        <w:jc w:val="both"/>
        <w:rPr>
          <w:rFonts w:ascii="Arial" w:hAnsi="Arial" w:cs="Arial"/>
          <w:b/>
          <w:bCs/>
          <w:i/>
          <w:iCs/>
          <w:sz w:val="20"/>
          <w:szCs w:val="20"/>
        </w:rPr>
      </w:pPr>
    </w:p>
    <w:p w14:paraId="662A2E22" w14:textId="6998A239"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b/>
          <w:bCs/>
          <w:i/>
          <w:iCs/>
          <w:sz w:val="20"/>
          <w:szCs w:val="20"/>
        </w:rPr>
        <w:t>Art. 6 –</w:t>
      </w:r>
      <w:r w:rsidRPr="007D26DB">
        <w:rPr>
          <w:rFonts w:ascii="Arial" w:hAnsi="Arial" w:cs="Arial"/>
          <w:sz w:val="20"/>
          <w:szCs w:val="20"/>
        </w:rPr>
        <w:t xml:space="preserve"> </w:t>
      </w:r>
      <w:r w:rsidRPr="007D26DB">
        <w:rPr>
          <w:rFonts w:ascii="Arial" w:hAnsi="Arial" w:cs="Arial"/>
          <w:sz w:val="20"/>
          <w:szCs w:val="20"/>
        </w:rPr>
        <w:t xml:space="preserve">La direction générale de la coopération internationale en matière de migration est chargée de la prospection des opportunités de coopération internationale bilatérale et multilatérale en matière de migration et l'assistance des Tunisiens à l'étranger sur les plans sociaux, économiques, juridiques et culturels. </w:t>
      </w:r>
    </w:p>
    <w:p w14:paraId="7B38C230" w14:textId="77777777"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sz w:val="20"/>
          <w:szCs w:val="20"/>
        </w:rPr>
        <w:t xml:space="preserve">A cet effet, elle comprend la direction de la coopération internationale bilatérale et multilatérale. </w:t>
      </w:r>
    </w:p>
    <w:p w14:paraId="0C361AEC" w14:textId="77777777" w:rsidR="007D26DB" w:rsidRDefault="007D26DB" w:rsidP="007D26DB">
      <w:pPr>
        <w:spacing w:after="0" w:line="240" w:lineRule="auto"/>
        <w:ind w:left="284"/>
        <w:jc w:val="both"/>
        <w:rPr>
          <w:rFonts w:ascii="Arial" w:hAnsi="Arial" w:cs="Arial"/>
          <w:b/>
          <w:bCs/>
          <w:i/>
          <w:iCs/>
          <w:sz w:val="20"/>
          <w:szCs w:val="20"/>
        </w:rPr>
      </w:pPr>
    </w:p>
    <w:p w14:paraId="4B7EA499" w14:textId="6577897F"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b/>
          <w:bCs/>
          <w:i/>
          <w:iCs/>
          <w:sz w:val="20"/>
          <w:szCs w:val="20"/>
        </w:rPr>
        <w:t>Art. 7 –</w:t>
      </w:r>
      <w:r w:rsidRPr="007D26DB">
        <w:rPr>
          <w:rFonts w:ascii="Arial" w:hAnsi="Arial" w:cs="Arial"/>
          <w:sz w:val="20"/>
          <w:szCs w:val="20"/>
        </w:rPr>
        <w:t xml:space="preserve"> </w:t>
      </w:r>
      <w:r w:rsidRPr="007D26DB">
        <w:rPr>
          <w:rFonts w:ascii="Arial" w:hAnsi="Arial" w:cs="Arial"/>
          <w:sz w:val="20"/>
          <w:szCs w:val="20"/>
        </w:rPr>
        <w:t xml:space="preserve">La direction de la coopération internationale bilatérale et multilatérale est chargée de promouvoir la coopération avec tous les pays en vue d'assister les Tunisiens qui y résident, entretenir des liens avec les pays d'origine des émigrés étrangers en Tunisie et conclure les conventions appropriées en la matière. Elle participe à l'élaboration et à la négociation des projets de conventions qui seront conclues par l'Etat Tunisien et qui visent la protection et la consolidation des droits sociaux et économiques des migrants. </w:t>
      </w:r>
    </w:p>
    <w:p w14:paraId="547D507B" w14:textId="77777777"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sz w:val="20"/>
          <w:szCs w:val="20"/>
        </w:rPr>
        <w:t xml:space="preserve">La direction est également chargée de promouvoir la coordination des relations avec les organisations et les organismes internationaux œuvrant dans le domaine de la migration et d'assurer la coordination, l'examen et le suivi des préoccupations des migrants. </w:t>
      </w:r>
    </w:p>
    <w:p w14:paraId="668562C9" w14:textId="77777777"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sz w:val="20"/>
          <w:szCs w:val="20"/>
        </w:rPr>
        <w:t xml:space="preserve">A cet effet, elle comprend deux unités : </w:t>
      </w:r>
    </w:p>
    <w:p w14:paraId="262BACA3" w14:textId="44FE5497" w:rsidR="007D26DB" w:rsidRPr="007D26DB" w:rsidRDefault="007D26DB" w:rsidP="007D26DB">
      <w:pPr>
        <w:pStyle w:val="Paragraphedeliste"/>
        <w:numPr>
          <w:ilvl w:val="0"/>
          <w:numId w:val="21"/>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une unité de la coopération internationale. </w:t>
      </w:r>
    </w:p>
    <w:p w14:paraId="748AA71A" w14:textId="62A00444" w:rsidR="007D26DB" w:rsidRPr="007D26DB" w:rsidRDefault="007D26DB" w:rsidP="007D26DB">
      <w:pPr>
        <w:pStyle w:val="Paragraphedeliste"/>
        <w:numPr>
          <w:ilvl w:val="0"/>
          <w:numId w:val="21"/>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une unité de la coopération avec les organisations régionales et internationales. </w:t>
      </w:r>
    </w:p>
    <w:p w14:paraId="06399200" w14:textId="77777777"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sz w:val="20"/>
          <w:szCs w:val="20"/>
        </w:rPr>
        <w:t xml:space="preserve">L'unité de la coopération internationale est dirigée par un cadre ayant au moins une fonction équivalente à celle d’un sous-directeur d'administration centrale et assisté par deux chefs de service. L'unité de la coopération avec les organisations régionales et internationales est dirigée par un cadre ayant au moins une fonction équivalente à celle d’un sous-directeur d'administration centrale et assisté par un chef de service. </w:t>
      </w:r>
    </w:p>
    <w:p w14:paraId="12B379C6" w14:textId="77777777" w:rsidR="007D26DB" w:rsidRDefault="007D26DB" w:rsidP="007D26DB">
      <w:pPr>
        <w:spacing w:after="0" w:line="240" w:lineRule="auto"/>
        <w:ind w:left="284"/>
        <w:jc w:val="both"/>
        <w:rPr>
          <w:rFonts w:ascii="Arial" w:hAnsi="Arial" w:cs="Arial"/>
          <w:b/>
          <w:bCs/>
          <w:i/>
          <w:iCs/>
          <w:sz w:val="20"/>
          <w:szCs w:val="20"/>
        </w:rPr>
      </w:pPr>
    </w:p>
    <w:p w14:paraId="69A2BFB9" w14:textId="34D0784E"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b/>
          <w:bCs/>
          <w:i/>
          <w:iCs/>
          <w:sz w:val="20"/>
          <w:szCs w:val="20"/>
        </w:rPr>
        <w:t>Art. 8 –</w:t>
      </w:r>
      <w:r w:rsidRPr="007D26DB">
        <w:rPr>
          <w:rFonts w:ascii="Arial" w:hAnsi="Arial" w:cs="Arial"/>
          <w:sz w:val="20"/>
          <w:szCs w:val="20"/>
        </w:rPr>
        <w:t xml:space="preserve"> </w:t>
      </w:r>
      <w:r w:rsidRPr="007D26DB">
        <w:rPr>
          <w:rFonts w:ascii="Arial" w:hAnsi="Arial" w:cs="Arial"/>
          <w:sz w:val="20"/>
          <w:szCs w:val="20"/>
        </w:rPr>
        <w:t xml:space="preserve"> La direction générale de la planification et du suivi est chargée de fixer la stratégie d'action du secrétariat d'Etat en matière de migration intérieure et extérieure et de proposer les projets, programmes et politiques afférents à la migration des Tunisiens à l'étranger et des étrangers en Tunisie et de superviser les établissements sous la tutelle du secrétariat d'Etat aux migrations et aux Tunisiens à l'étranger. </w:t>
      </w:r>
    </w:p>
    <w:p w14:paraId="23A1FF1D" w14:textId="77777777"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sz w:val="20"/>
          <w:szCs w:val="20"/>
        </w:rPr>
        <w:t xml:space="preserve">A cet effet, elle comprend deux directions : </w:t>
      </w:r>
    </w:p>
    <w:p w14:paraId="18C4CC63" w14:textId="670FDE04" w:rsidR="007D26DB" w:rsidRPr="007D26DB" w:rsidRDefault="007D26DB" w:rsidP="007D26DB">
      <w:pPr>
        <w:pStyle w:val="Paragraphedeliste"/>
        <w:numPr>
          <w:ilvl w:val="0"/>
          <w:numId w:val="23"/>
        </w:numPr>
        <w:spacing w:before="120" w:after="0" w:line="240" w:lineRule="auto"/>
        <w:ind w:left="927"/>
        <w:jc w:val="both"/>
        <w:rPr>
          <w:rFonts w:ascii="Arial" w:hAnsi="Arial" w:cs="Arial"/>
          <w:sz w:val="20"/>
          <w:szCs w:val="20"/>
        </w:rPr>
      </w:pPr>
      <w:r w:rsidRPr="007D26DB">
        <w:rPr>
          <w:rFonts w:ascii="Arial" w:hAnsi="Arial" w:cs="Arial"/>
          <w:sz w:val="20"/>
          <w:szCs w:val="20"/>
        </w:rPr>
        <w:t>la direction de la planification et de la prospective,</w:t>
      </w:r>
    </w:p>
    <w:p w14:paraId="50E1A511" w14:textId="1EC3E738" w:rsidR="007D26DB" w:rsidRPr="007D26DB" w:rsidRDefault="007D26DB" w:rsidP="007D26DB">
      <w:pPr>
        <w:pStyle w:val="Paragraphedeliste"/>
        <w:numPr>
          <w:ilvl w:val="0"/>
          <w:numId w:val="23"/>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la direction du suivi et de la communication. </w:t>
      </w:r>
    </w:p>
    <w:p w14:paraId="0A535096" w14:textId="77777777" w:rsidR="007D26DB" w:rsidRDefault="007D26DB" w:rsidP="007D26DB">
      <w:pPr>
        <w:spacing w:after="0" w:line="240" w:lineRule="auto"/>
        <w:ind w:left="284"/>
        <w:jc w:val="both"/>
        <w:rPr>
          <w:rFonts w:ascii="Arial" w:hAnsi="Arial" w:cs="Arial"/>
          <w:b/>
          <w:bCs/>
          <w:i/>
          <w:iCs/>
          <w:sz w:val="20"/>
          <w:szCs w:val="20"/>
        </w:rPr>
      </w:pPr>
    </w:p>
    <w:p w14:paraId="7B86525E" w14:textId="1D806313"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b/>
          <w:bCs/>
          <w:i/>
          <w:iCs/>
          <w:sz w:val="20"/>
          <w:szCs w:val="20"/>
        </w:rPr>
        <w:t>Art. 9 –</w:t>
      </w:r>
      <w:r w:rsidRPr="007D26DB">
        <w:rPr>
          <w:rFonts w:ascii="Arial" w:hAnsi="Arial" w:cs="Arial"/>
          <w:sz w:val="20"/>
          <w:szCs w:val="20"/>
        </w:rPr>
        <w:t xml:space="preserve"> </w:t>
      </w:r>
      <w:r w:rsidRPr="007D26DB">
        <w:rPr>
          <w:rFonts w:ascii="Arial" w:hAnsi="Arial" w:cs="Arial"/>
          <w:sz w:val="20"/>
          <w:szCs w:val="20"/>
        </w:rPr>
        <w:t xml:space="preserve">La direction de la planification et de la prospective est chargée de la conception de la stratégie du secrétariat d'Etat et des établissements sous tutelle en matière de migration dans le cadre des orientations de l'Etat et sa politique en la matière : </w:t>
      </w:r>
    </w:p>
    <w:p w14:paraId="6B12CE24" w14:textId="74811798" w:rsidR="007D26DB" w:rsidRPr="007D26DB" w:rsidRDefault="007D26DB" w:rsidP="007D26DB">
      <w:pPr>
        <w:spacing w:before="120" w:after="0" w:line="240" w:lineRule="auto"/>
        <w:ind w:left="284"/>
        <w:jc w:val="both"/>
        <w:rPr>
          <w:rFonts w:ascii="Arial" w:hAnsi="Arial" w:cs="Arial"/>
          <w:sz w:val="20"/>
          <w:szCs w:val="20"/>
        </w:rPr>
      </w:pPr>
      <w:r>
        <w:rPr>
          <w:rFonts w:ascii="Arial" w:hAnsi="Arial" w:cs="Arial"/>
          <w:sz w:val="20"/>
          <w:szCs w:val="20"/>
        </w:rPr>
        <w:t>À</w:t>
      </w:r>
      <w:r w:rsidRPr="007D26DB">
        <w:rPr>
          <w:rFonts w:ascii="Arial" w:hAnsi="Arial" w:cs="Arial"/>
          <w:sz w:val="20"/>
          <w:szCs w:val="20"/>
        </w:rPr>
        <w:t xml:space="preserve"> cet effet, elle comprend deux unités : </w:t>
      </w:r>
    </w:p>
    <w:p w14:paraId="4B7B2DCB" w14:textId="29829C65" w:rsidR="007D26DB" w:rsidRPr="007D26DB" w:rsidRDefault="007D26DB" w:rsidP="007D26DB">
      <w:pPr>
        <w:pStyle w:val="Paragraphedeliste"/>
        <w:numPr>
          <w:ilvl w:val="0"/>
          <w:numId w:val="25"/>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unité de diagnostic et d'analyse, </w:t>
      </w:r>
    </w:p>
    <w:p w14:paraId="4F98A22E" w14:textId="2E7C5D8B" w:rsidR="007D26DB" w:rsidRPr="007D26DB" w:rsidRDefault="007D26DB" w:rsidP="007D26DB">
      <w:pPr>
        <w:pStyle w:val="Paragraphedeliste"/>
        <w:numPr>
          <w:ilvl w:val="0"/>
          <w:numId w:val="25"/>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unité de prospective. </w:t>
      </w:r>
    </w:p>
    <w:p w14:paraId="2D92ABF5" w14:textId="77777777"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sz w:val="20"/>
          <w:szCs w:val="20"/>
        </w:rPr>
        <w:t xml:space="preserve">Chaque unité est dirigée par un cadre ayant au moins une fonction équivalente à celle d’un sous-directeur d'administration centrale. </w:t>
      </w:r>
    </w:p>
    <w:p w14:paraId="3947520D" w14:textId="77777777" w:rsidR="007D26DB" w:rsidRDefault="007D26DB" w:rsidP="007D26DB">
      <w:pPr>
        <w:spacing w:after="0" w:line="240" w:lineRule="auto"/>
        <w:ind w:left="284"/>
        <w:jc w:val="both"/>
        <w:rPr>
          <w:rFonts w:ascii="Arial" w:hAnsi="Arial" w:cs="Arial"/>
          <w:b/>
          <w:bCs/>
          <w:i/>
          <w:iCs/>
          <w:sz w:val="20"/>
          <w:szCs w:val="20"/>
        </w:rPr>
      </w:pPr>
    </w:p>
    <w:p w14:paraId="6EDBA966" w14:textId="0AD8C4BB"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b/>
          <w:bCs/>
          <w:i/>
          <w:iCs/>
          <w:sz w:val="20"/>
          <w:szCs w:val="20"/>
        </w:rPr>
        <w:t>Art. 10 –</w:t>
      </w:r>
      <w:r w:rsidRPr="007D26DB">
        <w:rPr>
          <w:rFonts w:ascii="Arial" w:hAnsi="Arial" w:cs="Arial"/>
          <w:sz w:val="20"/>
          <w:szCs w:val="20"/>
        </w:rPr>
        <w:t xml:space="preserve"> </w:t>
      </w:r>
      <w:r w:rsidRPr="007D26DB">
        <w:rPr>
          <w:rFonts w:ascii="Arial" w:hAnsi="Arial" w:cs="Arial"/>
          <w:sz w:val="20"/>
          <w:szCs w:val="20"/>
        </w:rPr>
        <w:t>La direction du suivi et de la communication est chargée d'assurer la tutelle sur les établissements et structures relevant du secrétariat d'</w:t>
      </w:r>
      <w:r>
        <w:rPr>
          <w:rFonts w:ascii="Arial" w:hAnsi="Arial" w:cs="Arial"/>
          <w:sz w:val="20"/>
          <w:szCs w:val="20"/>
        </w:rPr>
        <w:t>É</w:t>
      </w:r>
      <w:r w:rsidRPr="007D26DB">
        <w:rPr>
          <w:rFonts w:ascii="Arial" w:hAnsi="Arial" w:cs="Arial"/>
          <w:sz w:val="20"/>
          <w:szCs w:val="20"/>
        </w:rPr>
        <w:t xml:space="preserve">tat et l'instauration de mécanismes et cadres de la communication administrative et numérique avec les Tunisiens résidant à l'étranger ou les migrants en Tunisie. </w:t>
      </w:r>
    </w:p>
    <w:p w14:paraId="7BFE8E42" w14:textId="33112831" w:rsidR="007D26DB" w:rsidRPr="007D26DB" w:rsidRDefault="007D26DB" w:rsidP="007D26DB">
      <w:pPr>
        <w:spacing w:before="120" w:after="0" w:line="240" w:lineRule="auto"/>
        <w:ind w:left="284"/>
        <w:jc w:val="both"/>
        <w:rPr>
          <w:rFonts w:ascii="Arial" w:hAnsi="Arial" w:cs="Arial"/>
          <w:sz w:val="20"/>
          <w:szCs w:val="20"/>
        </w:rPr>
      </w:pPr>
      <w:r>
        <w:rPr>
          <w:rFonts w:ascii="Arial" w:hAnsi="Arial" w:cs="Arial"/>
          <w:sz w:val="20"/>
          <w:szCs w:val="20"/>
        </w:rPr>
        <w:t>À</w:t>
      </w:r>
      <w:r w:rsidRPr="007D26DB">
        <w:rPr>
          <w:rFonts w:ascii="Arial" w:hAnsi="Arial" w:cs="Arial"/>
          <w:sz w:val="20"/>
          <w:szCs w:val="20"/>
        </w:rPr>
        <w:t xml:space="preserve"> cet effet, elle comprend deux unités : </w:t>
      </w:r>
    </w:p>
    <w:p w14:paraId="6FA482DE" w14:textId="79DD58F0" w:rsidR="007D26DB" w:rsidRPr="007D26DB" w:rsidRDefault="007D26DB" w:rsidP="007D26DB">
      <w:pPr>
        <w:pStyle w:val="Paragraphedeliste"/>
        <w:numPr>
          <w:ilvl w:val="0"/>
          <w:numId w:val="27"/>
        </w:numPr>
        <w:spacing w:before="120" w:after="0" w:line="240" w:lineRule="auto"/>
        <w:ind w:left="927"/>
        <w:jc w:val="both"/>
        <w:rPr>
          <w:rFonts w:ascii="Arial" w:hAnsi="Arial" w:cs="Arial"/>
          <w:sz w:val="20"/>
          <w:szCs w:val="20"/>
        </w:rPr>
      </w:pPr>
      <w:r w:rsidRPr="007D26DB">
        <w:rPr>
          <w:rFonts w:ascii="Arial" w:hAnsi="Arial" w:cs="Arial"/>
          <w:sz w:val="20"/>
          <w:szCs w:val="20"/>
        </w:rPr>
        <w:t xml:space="preserve">unité de tutelle des établissements, </w:t>
      </w:r>
    </w:p>
    <w:p w14:paraId="153D7975" w14:textId="3F602EF1" w:rsidR="007D26DB" w:rsidRPr="007D26DB" w:rsidRDefault="007D26DB" w:rsidP="007D26DB">
      <w:pPr>
        <w:pStyle w:val="Paragraphedeliste"/>
        <w:numPr>
          <w:ilvl w:val="0"/>
          <w:numId w:val="27"/>
        </w:numPr>
        <w:spacing w:before="120" w:after="0" w:line="240" w:lineRule="auto"/>
        <w:ind w:left="927"/>
        <w:jc w:val="both"/>
        <w:rPr>
          <w:rFonts w:ascii="Arial" w:hAnsi="Arial" w:cs="Arial"/>
          <w:sz w:val="20"/>
          <w:szCs w:val="20"/>
        </w:rPr>
      </w:pPr>
      <w:r w:rsidRPr="007D26DB">
        <w:rPr>
          <w:rFonts w:ascii="Arial" w:hAnsi="Arial" w:cs="Arial"/>
          <w:sz w:val="20"/>
          <w:szCs w:val="20"/>
        </w:rPr>
        <w:t>unité de communication et d'assistance</w:t>
      </w:r>
      <w:r>
        <w:rPr>
          <w:rFonts w:ascii="Arial" w:hAnsi="Arial" w:cs="Arial"/>
          <w:sz w:val="20"/>
          <w:szCs w:val="20"/>
        </w:rPr>
        <w:t>.</w:t>
      </w:r>
    </w:p>
    <w:p w14:paraId="72694C40" w14:textId="77777777" w:rsidR="007D26DB" w:rsidRPr="007D26DB" w:rsidRDefault="007D26DB" w:rsidP="007D26DB">
      <w:pPr>
        <w:spacing w:before="120" w:after="0" w:line="240" w:lineRule="auto"/>
        <w:ind w:left="284"/>
        <w:jc w:val="both"/>
        <w:rPr>
          <w:rFonts w:ascii="Arial" w:hAnsi="Arial" w:cs="Arial"/>
          <w:sz w:val="20"/>
          <w:szCs w:val="20"/>
        </w:rPr>
      </w:pPr>
      <w:r w:rsidRPr="007D26DB">
        <w:rPr>
          <w:rFonts w:ascii="Arial" w:hAnsi="Arial" w:cs="Arial"/>
          <w:sz w:val="20"/>
          <w:szCs w:val="20"/>
        </w:rPr>
        <w:t xml:space="preserve">L'unité de communication et d'assistance est dirigée par un cadre ayant au moins une fonction équivalente à celle d’un sous-directeur d'administration centrale et assisté par deux chefs de service. </w:t>
      </w:r>
    </w:p>
    <w:p w14:paraId="4C9F2FC8" w14:textId="77777777" w:rsidR="007D26DB" w:rsidRDefault="007D26DB" w:rsidP="007D26DB">
      <w:pPr>
        <w:spacing w:before="120" w:after="0" w:line="240" w:lineRule="auto"/>
        <w:ind w:left="284"/>
        <w:jc w:val="both"/>
        <w:rPr>
          <w:rFonts w:ascii="Arial" w:hAnsi="Arial" w:cs="Arial"/>
          <w:sz w:val="20"/>
          <w:szCs w:val="20"/>
        </w:rPr>
      </w:pPr>
      <w:r w:rsidRPr="007D26DB">
        <w:rPr>
          <w:rFonts w:ascii="Arial" w:hAnsi="Arial" w:cs="Arial"/>
          <w:sz w:val="20"/>
          <w:szCs w:val="20"/>
        </w:rPr>
        <w:t xml:space="preserve">L'unité de tutelle des établissements est dirigée par un cadre ayant au moins une fonction équivalente à celle d’un sous-directeur d'administration centrale. </w:t>
      </w:r>
    </w:p>
    <w:p w14:paraId="6D43274A" w14:textId="77777777" w:rsidR="007D26DB" w:rsidRPr="007D26DB" w:rsidRDefault="007D26DB" w:rsidP="007D26DB">
      <w:pPr>
        <w:spacing w:after="0" w:line="240" w:lineRule="auto"/>
        <w:ind w:left="284"/>
        <w:jc w:val="both"/>
        <w:rPr>
          <w:rFonts w:ascii="Arial" w:hAnsi="Arial" w:cs="Arial"/>
          <w:sz w:val="20"/>
          <w:szCs w:val="20"/>
        </w:rPr>
      </w:pPr>
    </w:p>
    <w:p w14:paraId="13E8120E" w14:textId="73ED20E7" w:rsidR="007D26DB" w:rsidRPr="007D26DB" w:rsidRDefault="007D26DB" w:rsidP="007D26DB">
      <w:pPr>
        <w:spacing w:after="0" w:line="240" w:lineRule="auto"/>
        <w:ind w:left="284"/>
        <w:jc w:val="center"/>
        <w:rPr>
          <w:rFonts w:ascii="Arial" w:hAnsi="Arial" w:cs="Arial"/>
          <w:b/>
          <w:bCs/>
          <w:sz w:val="20"/>
          <w:szCs w:val="20"/>
        </w:rPr>
      </w:pPr>
      <w:r w:rsidRPr="007D26DB">
        <w:rPr>
          <w:rFonts w:ascii="Arial" w:hAnsi="Arial" w:cs="Arial"/>
          <w:b/>
          <w:bCs/>
          <w:sz w:val="20"/>
          <w:szCs w:val="20"/>
        </w:rPr>
        <w:t>CHAPITRE 5</w:t>
      </w:r>
      <w:r w:rsidRPr="007D26DB">
        <w:rPr>
          <w:rFonts w:ascii="Arial" w:hAnsi="Arial" w:cs="Arial"/>
          <w:b/>
          <w:bCs/>
          <w:sz w:val="20"/>
          <w:szCs w:val="20"/>
        </w:rPr>
        <w:t xml:space="preserve"> – </w:t>
      </w:r>
      <w:r w:rsidRPr="007D26DB">
        <w:rPr>
          <w:rFonts w:ascii="Arial" w:hAnsi="Arial" w:cs="Arial"/>
          <w:b/>
          <w:bCs/>
          <w:sz w:val="20"/>
          <w:szCs w:val="20"/>
        </w:rPr>
        <w:t>Dispositions diverses</w:t>
      </w:r>
    </w:p>
    <w:p w14:paraId="0023821C" w14:textId="77777777" w:rsidR="007D26DB" w:rsidRDefault="007D26DB" w:rsidP="007D26DB">
      <w:pPr>
        <w:spacing w:after="0" w:line="240" w:lineRule="auto"/>
        <w:ind w:left="284"/>
        <w:jc w:val="both"/>
        <w:rPr>
          <w:rFonts w:ascii="Arial" w:hAnsi="Arial" w:cs="Arial"/>
          <w:b/>
          <w:bCs/>
          <w:i/>
          <w:iCs/>
          <w:sz w:val="20"/>
          <w:szCs w:val="20"/>
        </w:rPr>
      </w:pPr>
    </w:p>
    <w:p w14:paraId="490956B6" w14:textId="55CA995B"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b/>
          <w:bCs/>
          <w:i/>
          <w:iCs/>
          <w:sz w:val="20"/>
          <w:szCs w:val="20"/>
        </w:rPr>
        <w:t>Art. 11 –</w:t>
      </w:r>
      <w:r w:rsidRPr="007D26DB">
        <w:rPr>
          <w:rFonts w:ascii="Arial" w:hAnsi="Arial" w:cs="Arial"/>
          <w:sz w:val="20"/>
          <w:szCs w:val="20"/>
        </w:rPr>
        <w:t xml:space="preserve"> </w:t>
      </w:r>
      <w:r w:rsidRPr="007D26DB">
        <w:rPr>
          <w:rFonts w:ascii="Arial" w:hAnsi="Arial" w:cs="Arial"/>
          <w:sz w:val="20"/>
          <w:szCs w:val="20"/>
        </w:rPr>
        <w:t>La direction générale des services communs, le bureau des relations avec les citoyen</w:t>
      </w:r>
      <w:r>
        <w:rPr>
          <w:rFonts w:ascii="Arial" w:hAnsi="Arial" w:cs="Arial"/>
          <w:sz w:val="20"/>
          <w:szCs w:val="20"/>
        </w:rPr>
        <w:t>s</w:t>
      </w:r>
      <w:r w:rsidRPr="007D26DB">
        <w:rPr>
          <w:rFonts w:ascii="Arial" w:hAnsi="Arial" w:cs="Arial"/>
          <w:sz w:val="20"/>
          <w:szCs w:val="20"/>
        </w:rPr>
        <w:t xml:space="preserve">, l'Inspection générale et les différents services extérieurs relevant du ministère des </w:t>
      </w:r>
      <w:r>
        <w:rPr>
          <w:rFonts w:ascii="Arial" w:hAnsi="Arial" w:cs="Arial"/>
          <w:sz w:val="20"/>
          <w:szCs w:val="20"/>
        </w:rPr>
        <w:t>A</w:t>
      </w:r>
      <w:r w:rsidRPr="007D26DB">
        <w:rPr>
          <w:rFonts w:ascii="Arial" w:hAnsi="Arial" w:cs="Arial"/>
          <w:sz w:val="20"/>
          <w:szCs w:val="20"/>
        </w:rPr>
        <w:t>ffaires sociales sont appelés, chacun dans le cadre de ses attributions, à répondre aux besoins du secrétariat d'</w:t>
      </w:r>
      <w:r>
        <w:rPr>
          <w:rFonts w:ascii="Arial" w:hAnsi="Arial" w:cs="Arial"/>
          <w:sz w:val="20"/>
          <w:szCs w:val="20"/>
        </w:rPr>
        <w:t>É</w:t>
      </w:r>
      <w:r w:rsidRPr="007D26DB">
        <w:rPr>
          <w:rFonts w:ascii="Arial" w:hAnsi="Arial" w:cs="Arial"/>
          <w:sz w:val="20"/>
          <w:szCs w:val="20"/>
        </w:rPr>
        <w:t xml:space="preserve">tat aux migrations et aux Tunisiens à l'étranger. </w:t>
      </w:r>
    </w:p>
    <w:p w14:paraId="444727C9" w14:textId="77777777" w:rsidR="007D26DB" w:rsidRDefault="007D26DB" w:rsidP="007D26DB">
      <w:pPr>
        <w:spacing w:after="0" w:line="240" w:lineRule="auto"/>
        <w:ind w:left="284"/>
        <w:jc w:val="both"/>
        <w:rPr>
          <w:rFonts w:ascii="Arial" w:hAnsi="Arial" w:cs="Arial"/>
          <w:b/>
          <w:bCs/>
          <w:i/>
          <w:iCs/>
          <w:sz w:val="20"/>
          <w:szCs w:val="20"/>
        </w:rPr>
      </w:pPr>
    </w:p>
    <w:p w14:paraId="065063BB" w14:textId="71CC1669"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b/>
          <w:bCs/>
          <w:i/>
          <w:iCs/>
          <w:sz w:val="20"/>
          <w:szCs w:val="20"/>
        </w:rPr>
        <w:t>Art. 12 –</w:t>
      </w:r>
      <w:r w:rsidRPr="007D26DB">
        <w:rPr>
          <w:rFonts w:ascii="Arial" w:hAnsi="Arial" w:cs="Arial"/>
          <w:sz w:val="20"/>
          <w:szCs w:val="20"/>
        </w:rPr>
        <w:t xml:space="preserve"> </w:t>
      </w:r>
      <w:r w:rsidRPr="007D26DB">
        <w:rPr>
          <w:rFonts w:ascii="Arial" w:hAnsi="Arial" w:cs="Arial"/>
          <w:sz w:val="20"/>
          <w:szCs w:val="20"/>
        </w:rPr>
        <w:t>L'office des Tunisiens à l'étranger est soumis à la tutelle du secrétariat d'</w:t>
      </w:r>
      <w:r>
        <w:rPr>
          <w:rFonts w:ascii="Arial" w:hAnsi="Arial" w:cs="Arial"/>
          <w:sz w:val="20"/>
          <w:szCs w:val="20"/>
        </w:rPr>
        <w:t>É</w:t>
      </w:r>
      <w:r w:rsidRPr="007D26DB">
        <w:rPr>
          <w:rFonts w:ascii="Arial" w:hAnsi="Arial" w:cs="Arial"/>
          <w:sz w:val="20"/>
          <w:szCs w:val="20"/>
        </w:rPr>
        <w:t xml:space="preserve">tat aux migrations et aux Tunisiens à l'étranger. </w:t>
      </w:r>
    </w:p>
    <w:p w14:paraId="78CE3371" w14:textId="77777777" w:rsidR="007D26DB" w:rsidRDefault="007D26DB" w:rsidP="007D26DB">
      <w:pPr>
        <w:spacing w:after="0" w:line="240" w:lineRule="auto"/>
        <w:ind w:left="284"/>
        <w:jc w:val="both"/>
        <w:rPr>
          <w:rFonts w:ascii="Arial" w:hAnsi="Arial" w:cs="Arial"/>
          <w:b/>
          <w:bCs/>
          <w:i/>
          <w:iCs/>
          <w:sz w:val="20"/>
          <w:szCs w:val="20"/>
        </w:rPr>
      </w:pPr>
    </w:p>
    <w:p w14:paraId="550EA7B7" w14:textId="4800AA58" w:rsidR="007D26DB" w:rsidRPr="007D26DB" w:rsidRDefault="007D26DB" w:rsidP="007D26DB">
      <w:pPr>
        <w:spacing w:after="0" w:line="240" w:lineRule="auto"/>
        <w:ind w:left="284"/>
        <w:jc w:val="both"/>
        <w:rPr>
          <w:rFonts w:ascii="Arial" w:hAnsi="Arial" w:cs="Arial"/>
          <w:sz w:val="20"/>
          <w:szCs w:val="20"/>
        </w:rPr>
      </w:pPr>
      <w:r w:rsidRPr="007D26DB">
        <w:rPr>
          <w:rFonts w:ascii="Arial" w:hAnsi="Arial" w:cs="Arial"/>
          <w:b/>
          <w:bCs/>
          <w:i/>
          <w:iCs/>
          <w:sz w:val="20"/>
          <w:szCs w:val="20"/>
        </w:rPr>
        <w:t>Art. 13 –</w:t>
      </w:r>
      <w:r w:rsidRPr="007D26DB">
        <w:rPr>
          <w:rFonts w:ascii="Arial" w:hAnsi="Arial" w:cs="Arial"/>
          <w:sz w:val="20"/>
          <w:szCs w:val="20"/>
        </w:rPr>
        <w:t xml:space="preserve"> </w:t>
      </w:r>
      <w:r w:rsidRPr="007D26DB">
        <w:rPr>
          <w:rFonts w:ascii="Arial" w:hAnsi="Arial" w:cs="Arial"/>
          <w:sz w:val="20"/>
          <w:szCs w:val="20"/>
        </w:rPr>
        <w:t xml:space="preserve">Le ministre des </w:t>
      </w:r>
      <w:r>
        <w:rPr>
          <w:rFonts w:ascii="Arial" w:hAnsi="Arial" w:cs="Arial"/>
          <w:sz w:val="20"/>
          <w:szCs w:val="20"/>
        </w:rPr>
        <w:t>A</w:t>
      </w:r>
      <w:r w:rsidRPr="007D26DB">
        <w:rPr>
          <w:rFonts w:ascii="Arial" w:hAnsi="Arial" w:cs="Arial"/>
          <w:sz w:val="20"/>
          <w:szCs w:val="20"/>
        </w:rPr>
        <w:t xml:space="preserve">ffaires sociales et le ministre des </w:t>
      </w:r>
      <w:r>
        <w:rPr>
          <w:rFonts w:ascii="Arial" w:hAnsi="Arial" w:cs="Arial"/>
          <w:sz w:val="20"/>
          <w:szCs w:val="20"/>
        </w:rPr>
        <w:t>F</w:t>
      </w:r>
      <w:r w:rsidRPr="007D26DB">
        <w:rPr>
          <w:rFonts w:ascii="Arial" w:hAnsi="Arial" w:cs="Arial"/>
          <w:sz w:val="20"/>
          <w:szCs w:val="20"/>
        </w:rPr>
        <w:t>inances sont chargés, chacun en ce qui le concerne, de l'exécution du présent décret qui sera publié au Journal Officiel de la République Tunisienne.</w:t>
      </w:r>
    </w:p>
    <w:p w14:paraId="199865B2" w14:textId="77777777" w:rsidR="007D26DB" w:rsidRDefault="007D26DB" w:rsidP="007D26DB">
      <w:pPr>
        <w:spacing w:after="0" w:line="240" w:lineRule="auto"/>
        <w:ind w:left="284"/>
        <w:jc w:val="both"/>
        <w:rPr>
          <w:rFonts w:ascii="Arial" w:hAnsi="Arial" w:cs="Arial"/>
          <w:b/>
          <w:bCs/>
          <w:sz w:val="20"/>
          <w:szCs w:val="20"/>
        </w:rPr>
      </w:pPr>
    </w:p>
    <w:p w14:paraId="2E450CD2" w14:textId="77777777" w:rsidR="007D26DB" w:rsidRPr="007D26DB" w:rsidRDefault="007D26DB" w:rsidP="007D26DB">
      <w:pPr>
        <w:spacing w:after="0" w:line="240" w:lineRule="auto"/>
        <w:ind w:left="284"/>
        <w:jc w:val="both"/>
        <w:rPr>
          <w:rFonts w:ascii="Arial" w:hAnsi="Arial" w:cs="Arial"/>
          <w:b/>
          <w:bCs/>
          <w:sz w:val="20"/>
          <w:szCs w:val="20"/>
        </w:rPr>
      </w:pPr>
      <w:r w:rsidRPr="007D26DB">
        <w:rPr>
          <w:rFonts w:ascii="Arial" w:hAnsi="Arial" w:cs="Arial"/>
          <w:b/>
          <w:bCs/>
          <w:sz w:val="20"/>
          <w:szCs w:val="20"/>
        </w:rPr>
        <w:t>Tunis, le 11 septembre 2012.</w:t>
      </w:r>
    </w:p>
    <w:p w14:paraId="4245D351" w14:textId="4CF618E0" w:rsidR="00D55CDF" w:rsidRPr="007D26DB" w:rsidRDefault="00D55CDF" w:rsidP="007D26DB">
      <w:pPr>
        <w:spacing w:after="0" w:line="240" w:lineRule="auto"/>
        <w:ind w:left="284"/>
        <w:jc w:val="both"/>
        <w:rPr>
          <w:rFonts w:ascii="Arial" w:hAnsi="Arial" w:cs="Arial"/>
          <w:sz w:val="20"/>
          <w:szCs w:val="20"/>
        </w:rPr>
      </w:pPr>
    </w:p>
    <w:sectPr w:rsidR="00D55CDF" w:rsidRPr="007D26DB"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56D26" w14:textId="77777777" w:rsidR="00BB296F" w:rsidRDefault="00BB296F" w:rsidP="008F3F2D">
      <w:r>
        <w:separator/>
      </w:r>
    </w:p>
  </w:endnote>
  <w:endnote w:type="continuationSeparator" w:id="0">
    <w:p w14:paraId="557DF8E4" w14:textId="77777777" w:rsidR="00BB296F" w:rsidRDefault="00BB296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0C3F27" w:rsidRPr="00D55CDF" w:rsidRDefault="000C3F27">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35F6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35F60">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35F6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35F60">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0C3F27" w:rsidRDefault="000C3F27">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296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296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296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296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B83" w14:textId="77777777" w:rsidR="00AA78A6" w:rsidRDefault="00AA78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7DB6C" w14:textId="77777777" w:rsidR="00BB296F" w:rsidRDefault="00BB296F" w:rsidP="008F3F2D">
      <w:r>
        <w:separator/>
      </w:r>
    </w:p>
  </w:footnote>
  <w:footnote w:type="continuationSeparator" w:id="0">
    <w:p w14:paraId="2BC6F63C" w14:textId="77777777" w:rsidR="00BB296F" w:rsidRDefault="00BB296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0C3F27" w:rsidRDefault="000C3F27">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0C3F27" w:rsidRDefault="000C3F27">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D55CDF" w:rsidRDefault="000C3F27"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D55CDF" w:rsidRDefault="000C3F27"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6E34" w14:textId="77777777" w:rsidR="00AA78A6" w:rsidRDefault="00AA78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519"/>
    <w:multiLevelType w:val="hybridMultilevel"/>
    <w:tmpl w:val="734808A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E877159"/>
    <w:multiLevelType w:val="hybridMultilevel"/>
    <w:tmpl w:val="651421A0"/>
    <w:lvl w:ilvl="0" w:tplc="1418644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2B60477"/>
    <w:multiLevelType w:val="hybridMultilevel"/>
    <w:tmpl w:val="8B745BF6"/>
    <w:lvl w:ilvl="0" w:tplc="298A1484">
      <w:numFmt w:val="bullet"/>
      <w:lvlText w:val=""/>
      <w:lvlJc w:val="left"/>
      <w:pPr>
        <w:ind w:left="644" w:hanging="360"/>
      </w:pPr>
      <w:rPr>
        <w:rFonts w:ascii="Symbol" w:eastAsiaTheme="minorEastAsia"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99816ED"/>
    <w:multiLevelType w:val="hybridMultilevel"/>
    <w:tmpl w:val="B89E12E6"/>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C5652BC"/>
    <w:multiLevelType w:val="hybridMultilevel"/>
    <w:tmpl w:val="9C92F45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231058BF"/>
    <w:multiLevelType w:val="hybridMultilevel"/>
    <w:tmpl w:val="B41AD1B2"/>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265B1F0E"/>
    <w:multiLevelType w:val="hybridMultilevel"/>
    <w:tmpl w:val="1F00A4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95E306C"/>
    <w:multiLevelType w:val="hybridMultilevel"/>
    <w:tmpl w:val="B6EA9F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0236BB8"/>
    <w:multiLevelType w:val="hybridMultilevel"/>
    <w:tmpl w:val="2ABE2D0A"/>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31E715AF"/>
    <w:multiLevelType w:val="hybridMultilevel"/>
    <w:tmpl w:val="0F0ED5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52F7F39"/>
    <w:multiLevelType w:val="hybridMultilevel"/>
    <w:tmpl w:val="63B0E5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6CD17C8"/>
    <w:multiLevelType w:val="hybridMultilevel"/>
    <w:tmpl w:val="FF0AD230"/>
    <w:lvl w:ilvl="0" w:tplc="276EEA1E">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9506DD6"/>
    <w:multiLevelType w:val="hybridMultilevel"/>
    <w:tmpl w:val="DD72E98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A9C1F98"/>
    <w:multiLevelType w:val="hybridMultilevel"/>
    <w:tmpl w:val="85DEF9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BA90240"/>
    <w:multiLevelType w:val="hybridMultilevel"/>
    <w:tmpl w:val="AFAE4D06"/>
    <w:lvl w:ilvl="0" w:tplc="C13E129E">
      <w:numFmt w:val="bullet"/>
      <w:lvlText w:val=""/>
      <w:lvlJc w:val="left"/>
      <w:pPr>
        <w:ind w:left="644" w:hanging="360"/>
      </w:pPr>
      <w:rPr>
        <w:rFonts w:ascii="Symbol" w:eastAsiaTheme="minorEastAsia"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3F41694C"/>
    <w:multiLevelType w:val="hybridMultilevel"/>
    <w:tmpl w:val="7FF0843C"/>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1B177A7"/>
    <w:multiLevelType w:val="hybridMultilevel"/>
    <w:tmpl w:val="819CC628"/>
    <w:lvl w:ilvl="0" w:tplc="54BE6A5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520C5CCC"/>
    <w:multiLevelType w:val="hybridMultilevel"/>
    <w:tmpl w:val="A7B081A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A67A0F"/>
    <w:multiLevelType w:val="hybridMultilevel"/>
    <w:tmpl w:val="EBCCA0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5F43529B"/>
    <w:multiLevelType w:val="hybridMultilevel"/>
    <w:tmpl w:val="84C602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6C432CC"/>
    <w:multiLevelType w:val="hybridMultilevel"/>
    <w:tmpl w:val="2690C4BC"/>
    <w:lvl w:ilvl="0" w:tplc="1418644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6BFF5478"/>
    <w:multiLevelType w:val="hybridMultilevel"/>
    <w:tmpl w:val="14CE7294"/>
    <w:lvl w:ilvl="0" w:tplc="1418644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6E1C055A"/>
    <w:multiLevelType w:val="hybridMultilevel"/>
    <w:tmpl w:val="1DA6C7B2"/>
    <w:lvl w:ilvl="0" w:tplc="1418644E">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6E5C20BC"/>
    <w:multiLevelType w:val="hybridMultilevel"/>
    <w:tmpl w:val="26CCAB98"/>
    <w:lvl w:ilvl="0" w:tplc="1418644E">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70360F5C"/>
    <w:multiLevelType w:val="hybridMultilevel"/>
    <w:tmpl w:val="D87C94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729A3C6E"/>
    <w:multiLevelType w:val="hybridMultilevel"/>
    <w:tmpl w:val="1FF45D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6DD3FE2"/>
    <w:multiLevelType w:val="hybridMultilevel"/>
    <w:tmpl w:val="F6747D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C76112D"/>
    <w:multiLevelType w:val="hybridMultilevel"/>
    <w:tmpl w:val="4EC2C74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0"/>
  </w:num>
  <w:num w:numId="2">
    <w:abstractNumId w:val="18"/>
  </w:num>
  <w:num w:numId="3">
    <w:abstractNumId w:val="4"/>
  </w:num>
  <w:num w:numId="4">
    <w:abstractNumId w:val="15"/>
  </w:num>
  <w:num w:numId="5">
    <w:abstractNumId w:val="3"/>
  </w:num>
  <w:num w:numId="6">
    <w:abstractNumId w:val="5"/>
  </w:num>
  <w:num w:numId="7">
    <w:abstractNumId w:val="8"/>
  </w:num>
  <w:num w:numId="8">
    <w:abstractNumId w:val="17"/>
  </w:num>
  <w:num w:numId="9">
    <w:abstractNumId w:val="7"/>
  </w:num>
  <w:num w:numId="10">
    <w:abstractNumId w:val="24"/>
  </w:num>
  <w:num w:numId="11">
    <w:abstractNumId w:val="6"/>
  </w:num>
  <w:num w:numId="12">
    <w:abstractNumId w:val="13"/>
  </w:num>
  <w:num w:numId="13">
    <w:abstractNumId w:val="0"/>
  </w:num>
  <w:num w:numId="14">
    <w:abstractNumId w:val="16"/>
  </w:num>
  <w:num w:numId="15">
    <w:abstractNumId w:val="25"/>
  </w:num>
  <w:num w:numId="16">
    <w:abstractNumId w:val="19"/>
  </w:num>
  <w:num w:numId="17">
    <w:abstractNumId w:val="1"/>
  </w:num>
  <w:num w:numId="18">
    <w:abstractNumId w:val="22"/>
  </w:num>
  <w:num w:numId="19">
    <w:abstractNumId w:val="23"/>
  </w:num>
  <w:num w:numId="20">
    <w:abstractNumId w:val="11"/>
  </w:num>
  <w:num w:numId="21">
    <w:abstractNumId w:val="12"/>
  </w:num>
  <w:num w:numId="22">
    <w:abstractNumId w:val="21"/>
  </w:num>
  <w:num w:numId="23">
    <w:abstractNumId w:val="27"/>
  </w:num>
  <w:num w:numId="24">
    <w:abstractNumId w:val="20"/>
  </w:num>
  <w:num w:numId="25">
    <w:abstractNumId w:val="9"/>
  </w:num>
  <w:num w:numId="26">
    <w:abstractNumId w:val="2"/>
  </w:num>
  <w:num w:numId="27">
    <w:abstractNumId w:val="26"/>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B0D20"/>
    <w:rsid w:val="000C24FA"/>
    <w:rsid w:val="000C3F27"/>
    <w:rsid w:val="000C7FAD"/>
    <w:rsid w:val="000D0DE1"/>
    <w:rsid w:val="001323AC"/>
    <w:rsid w:val="00137334"/>
    <w:rsid w:val="001A535F"/>
    <w:rsid w:val="001B250B"/>
    <w:rsid w:val="001E10BA"/>
    <w:rsid w:val="001E5DD5"/>
    <w:rsid w:val="001E6787"/>
    <w:rsid w:val="001F6FB9"/>
    <w:rsid w:val="0020398F"/>
    <w:rsid w:val="002B19EE"/>
    <w:rsid w:val="00335F60"/>
    <w:rsid w:val="00354137"/>
    <w:rsid w:val="00356C00"/>
    <w:rsid w:val="00383314"/>
    <w:rsid w:val="00385334"/>
    <w:rsid w:val="003B6CD4"/>
    <w:rsid w:val="003F4AF0"/>
    <w:rsid w:val="004808F1"/>
    <w:rsid w:val="004977E0"/>
    <w:rsid w:val="004E246D"/>
    <w:rsid w:val="00503E5A"/>
    <w:rsid w:val="00584322"/>
    <w:rsid w:val="00595DBD"/>
    <w:rsid w:val="005E7CA9"/>
    <w:rsid w:val="005F7BF4"/>
    <w:rsid w:val="0060594F"/>
    <w:rsid w:val="006353B0"/>
    <w:rsid w:val="00684129"/>
    <w:rsid w:val="006C0270"/>
    <w:rsid w:val="007244D3"/>
    <w:rsid w:val="0075404E"/>
    <w:rsid w:val="007D26DB"/>
    <w:rsid w:val="007E7F34"/>
    <w:rsid w:val="0081344C"/>
    <w:rsid w:val="00846ED4"/>
    <w:rsid w:val="00847F00"/>
    <w:rsid w:val="00874F3E"/>
    <w:rsid w:val="0089552E"/>
    <w:rsid w:val="008F3F2D"/>
    <w:rsid w:val="00911CFA"/>
    <w:rsid w:val="009157FD"/>
    <w:rsid w:val="00957CDF"/>
    <w:rsid w:val="00957F0E"/>
    <w:rsid w:val="0097472C"/>
    <w:rsid w:val="00993EF9"/>
    <w:rsid w:val="009E055F"/>
    <w:rsid w:val="00A00644"/>
    <w:rsid w:val="00A0369D"/>
    <w:rsid w:val="00A04F09"/>
    <w:rsid w:val="00A23AAD"/>
    <w:rsid w:val="00A24F23"/>
    <w:rsid w:val="00A77B68"/>
    <w:rsid w:val="00A84B7B"/>
    <w:rsid w:val="00A85FD5"/>
    <w:rsid w:val="00A90F21"/>
    <w:rsid w:val="00A9459F"/>
    <w:rsid w:val="00AA78A6"/>
    <w:rsid w:val="00AD2268"/>
    <w:rsid w:val="00B05438"/>
    <w:rsid w:val="00B12F7E"/>
    <w:rsid w:val="00B617F1"/>
    <w:rsid w:val="00BB296F"/>
    <w:rsid w:val="00C068A7"/>
    <w:rsid w:val="00C1635D"/>
    <w:rsid w:val="00C61994"/>
    <w:rsid w:val="00C64B86"/>
    <w:rsid w:val="00C96D77"/>
    <w:rsid w:val="00CA3D64"/>
    <w:rsid w:val="00CA544B"/>
    <w:rsid w:val="00CC4ADF"/>
    <w:rsid w:val="00CF4C77"/>
    <w:rsid w:val="00D07749"/>
    <w:rsid w:val="00D1177F"/>
    <w:rsid w:val="00D274F6"/>
    <w:rsid w:val="00D36176"/>
    <w:rsid w:val="00D55CDF"/>
    <w:rsid w:val="00DC4590"/>
    <w:rsid w:val="00E10A35"/>
    <w:rsid w:val="00E57DAB"/>
    <w:rsid w:val="00E9240E"/>
    <w:rsid w:val="00E953A2"/>
    <w:rsid w:val="00EB590F"/>
    <w:rsid w:val="00ED7568"/>
    <w:rsid w:val="00EF16C9"/>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9A70-4890-4509-8097-44807EFA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1349</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3</cp:revision>
  <cp:lastPrinted>2015-12-10T10:22:00Z</cp:lastPrinted>
  <dcterms:created xsi:type="dcterms:W3CDTF">2015-12-10T10:22:00Z</dcterms:created>
  <dcterms:modified xsi:type="dcterms:W3CDTF">2015-12-10T10:26:00Z</dcterms:modified>
</cp:coreProperties>
</file>