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53E1E3A0" w14:textId="77777777" w:rsidR="0041278E" w:rsidRPr="0011597E" w:rsidRDefault="001868B8" w:rsidP="0011597E">
      <w:pPr>
        <w:tabs>
          <w:tab w:val="left" w:pos="1136"/>
        </w:tabs>
        <w:bidi/>
        <w:spacing w:before="100" w:beforeAutospacing="1" w:after="0"/>
        <w:ind w:left="283"/>
        <w:jc w:val="both"/>
        <w:rPr>
          <w:rFonts w:ascii="Arial" w:hAnsi="Arial" w:cs="Arial" w:hint="cs"/>
          <w:b/>
          <w:bCs/>
          <w:color w:val="000000"/>
          <w:sz w:val="24"/>
          <w:szCs w:val="24"/>
          <w:shd w:val="clear" w:color="auto" w:fill="FFFFFF"/>
          <w:rtl/>
          <w:lang w:bidi="ar-TN"/>
        </w:rPr>
      </w:pPr>
      <w:r w:rsidRPr="0011597E">
        <w:rPr>
          <w:rFonts w:ascii="Arial" w:hAnsi="Arial" w:cs="Arial"/>
          <w:b/>
          <w:bCs/>
          <w:color w:val="000000"/>
          <w:sz w:val="24"/>
          <w:szCs w:val="24"/>
          <w:shd w:val="clear" w:color="auto" w:fill="FFFFFF"/>
          <w:rtl/>
        </w:rPr>
        <w:t xml:space="preserve">أمر عـدد 2289 لسنة 2011 مؤرخ في 21 سبتمبر 2011 يتعلق بالترفيع في مقادير منحة خطر العدوى لفائدة الأعوان المنتفعين </w:t>
      </w:r>
      <w:bookmarkStart w:id="0" w:name="_GoBack"/>
      <w:bookmarkEnd w:id="0"/>
      <w:r w:rsidRPr="0011597E">
        <w:rPr>
          <w:rFonts w:ascii="Arial" w:hAnsi="Arial" w:cs="Arial"/>
          <w:b/>
          <w:bCs/>
          <w:color w:val="000000"/>
          <w:sz w:val="24"/>
          <w:szCs w:val="24"/>
          <w:shd w:val="clear" w:color="auto" w:fill="FFFFFF"/>
          <w:rtl/>
        </w:rPr>
        <w:t>بها بعنوان سنة 2011</w:t>
      </w:r>
    </w:p>
    <w:p w14:paraId="7A4F20AA" w14:textId="77777777" w:rsidR="0041278E" w:rsidRPr="0011597E" w:rsidRDefault="001868B8" w:rsidP="0011597E">
      <w:pPr>
        <w:tabs>
          <w:tab w:val="left" w:pos="1136"/>
        </w:tabs>
        <w:bidi/>
        <w:spacing w:before="100" w:beforeAutospacing="1" w:after="0"/>
        <w:ind w:left="283"/>
        <w:jc w:val="both"/>
        <w:rPr>
          <w:rFonts w:ascii="Arial" w:hAnsi="Arial" w:cs="Arial"/>
          <w:color w:val="000000"/>
          <w:shd w:val="clear" w:color="auto" w:fill="FFFFFF"/>
          <w:rtl/>
          <w:lang w:bidi="ar-TN"/>
        </w:rPr>
      </w:pPr>
      <w:r w:rsidRPr="0011597E">
        <w:rPr>
          <w:rFonts w:ascii="Arial" w:hAnsi="Arial" w:cs="Arial"/>
          <w:color w:val="000000"/>
          <w:shd w:val="clear" w:color="auto" w:fill="FFFFFF"/>
          <w:rtl/>
        </w:rPr>
        <w:t xml:space="preserve">إنّ رئيـس الجمهوريـة </w:t>
      </w:r>
      <w:proofErr w:type="gramStart"/>
      <w:r w:rsidRPr="0011597E">
        <w:rPr>
          <w:rFonts w:ascii="Arial" w:hAnsi="Arial" w:cs="Arial"/>
          <w:color w:val="000000"/>
          <w:shd w:val="clear" w:color="auto" w:fill="FFFFFF"/>
          <w:rtl/>
        </w:rPr>
        <w:t>المؤقت</w:t>
      </w:r>
      <w:proofErr w:type="gramEnd"/>
      <w:r w:rsidRPr="0011597E">
        <w:rPr>
          <w:rFonts w:ascii="Arial" w:hAnsi="Arial" w:cs="Arial"/>
          <w:color w:val="000000"/>
          <w:shd w:val="clear" w:color="auto" w:fill="FFFFFF"/>
          <w:rtl/>
        </w:rPr>
        <w:t>،</w:t>
      </w:r>
    </w:p>
    <w:p w14:paraId="05162FB3" w14:textId="77777777" w:rsidR="0041278E" w:rsidRPr="0011597E" w:rsidRDefault="001868B8" w:rsidP="0011597E">
      <w:pPr>
        <w:tabs>
          <w:tab w:val="left" w:pos="1136"/>
        </w:tabs>
        <w:bidi/>
        <w:spacing w:before="100" w:beforeAutospacing="1" w:after="0"/>
        <w:ind w:left="283"/>
        <w:jc w:val="both"/>
        <w:rPr>
          <w:rFonts w:ascii="Arial" w:hAnsi="Arial" w:cs="Arial"/>
          <w:color w:val="000000"/>
          <w:shd w:val="clear" w:color="auto" w:fill="FFFFFF"/>
          <w:rtl/>
          <w:lang w:bidi="ar-TN"/>
        </w:rPr>
      </w:pPr>
      <w:proofErr w:type="gramStart"/>
      <w:r w:rsidRPr="0011597E">
        <w:rPr>
          <w:rFonts w:ascii="Arial" w:hAnsi="Arial" w:cs="Arial"/>
          <w:color w:val="000000"/>
          <w:shd w:val="clear" w:color="auto" w:fill="FFFFFF"/>
          <w:rtl/>
        </w:rPr>
        <w:t>باقتراح</w:t>
      </w:r>
      <w:proofErr w:type="gramEnd"/>
      <w:r w:rsidRPr="0011597E">
        <w:rPr>
          <w:rFonts w:ascii="Arial" w:hAnsi="Arial" w:cs="Arial"/>
          <w:color w:val="000000"/>
          <w:shd w:val="clear" w:color="auto" w:fill="FFFFFF"/>
          <w:rtl/>
        </w:rPr>
        <w:t xml:space="preserve"> من الوزير الأول،</w:t>
      </w:r>
    </w:p>
    <w:p w14:paraId="47D39E3A" w14:textId="77777777" w:rsidR="0041278E" w:rsidRPr="0011597E" w:rsidRDefault="001868B8" w:rsidP="0011597E">
      <w:pPr>
        <w:tabs>
          <w:tab w:val="left" w:pos="1136"/>
        </w:tabs>
        <w:bidi/>
        <w:spacing w:before="100" w:beforeAutospacing="1" w:after="0"/>
        <w:ind w:left="283"/>
        <w:jc w:val="both"/>
        <w:rPr>
          <w:rFonts w:ascii="Arial" w:hAnsi="Arial" w:cs="Arial"/>
          <w:color w:val="000000"/>
          <w:shd w:val="clear" w:color="auto" w:fill="FFFFFF"/>
          <w:rtl/>
        </w:rPr>
      </w:pPr>
      <w:r w:rsidRPr="0011597E">
        <w:rPr>
          <w:rFonts w:ascii="Arial" w:hAnsi="Arial" w:cs="Arial"/>
          <w:color w:val="000000"/>
          <w:shd w:val="clear" w:color="auto" w:fill="FFFFFF"/>
          <w:rtl/>
        </w:rPr>
        <w:t>بعد الاطلاع على القانون عـدد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القانون عـدد 69 لسنة 2007 المؤرخ في 27 ديسمبر 2007</w:t>
      </w:r>
      <w:r w:rsidR="0041278E" w:rsidRPr="0011597E">
        <w:rPr>
          <w:rFonts w:ascii="Arial" w:hAnsi="Arial" w:cs="Arial"/>
          <w:color w:val="000000"/>
          <w:shd w:val="clear" w:color="auto" w:fill="FFFFFF"/>
          <w:rtl/>
        </w:rPr>
        <w:t>،</w:t>
      </w:r>
    </w:p>
    <w:p w14:paraId="3E9DED45" w14:textId="77777777" w:rsidR="0041278E" w:rsidRPr="0011597E" w:rsidRDefault="001868B8" w:rsidP="0011597E">
      <w:pPr>
        <w:tabs>
          <w:tab w:val="left" w:pos="1136"/>
        </w:tabs>
        <w:bidi/>
        <w:spacing w:before="100" w:beforeAutospacing="1" w:after="0"/>
        <w:ind w:left="283"/>
        <w:jc w:val="both"/>
        <w:rPr>
          <w:rFonts w:ascii="Arial" w:hAnsi="Arial" w:cs="Arial"/>
          <w:color w:val="000000"/>
          <w:shd w:val="clear" w:color="auto" w:fill="FFFFFF"/>
          <w:rtl/>
          <w:lang w:bidi="ar-TN"/>
        </w:rPr>
      </w:pPr>
      <w:r w:rsidRPr="0011597E">
        <w:rPr>
          <w:rFonts w:ascii="Arial" w:hAnsi="Arial" w:cs="Arial"/>
          <w:color w:val="000000"/>
          <w:shd w:val="clear" w:color="auto" w:fill="FFFFFF"/>
          <w:rtl/>
        </w:rPr>
        <w:t>وعلى المرسوم عدد 14 لسنة 2011 المؤرخ في 23 مارس 2011 والمتعلق بالتنظيم المؤقت للسلط العمومية،</w:t>
      </w:r>
    </w:p>
    <w:p w14:paraId="61701DC1" w14:textId="77777777" w:rsidR="0041278E" w:rsidRPr="0011597E" w:rsidRDefault="001868B8" w:rsidP="0011597E">
      <w:pPr>
        <w:tabs>
          <w:tab w:val="left" w:pos="1136"/>
        </w:tabs>
        <w:bidi/>
        <w:spacing w:before="100" w:beforeAutospacing="1" w:after="0"/>
        <w:ind w:left="283"/>
        <w:jc w:val="both"/>
        <w:rPr>
          <w:rFonts w:ascii="Arial" w:hAnsi="Arial" w:cs="Arial"/>
          <w:color w:val="000000"/>
          <w:shd w:val="clear" w:color="auto" w:fill="FFFFFF"/>
          <w:rtl/>
          <w:lang w:bidi="ar-TN"/>
        </w:rPr>
      </w:pPr>
      <w:r w:rsidRPr="0011597E">
        <w:rPr>
          <w:rFonts w:ascii="Arial" w:hAnsi="Arial" w:cs="Arial"/>
          <w:color w:val="000000"/>
          <w:shd w:val="clear" w:color="auto" w:fill="FFFFFF"/>
          <w:rtl/>
        </w:rPr>
        <w:t xml:space="preserve">وعلى الأمر عـدد 400 لسنة 1969 </w:t>
      </w:r>
      <w:proofErr w:type="gramStart"/>
      <w:r w:rsidRPr="0011597E">
        <w:rPr>
          <w:rFonts w:ascii="Arial" w:hAnsi="Arial" w:cs="Arial"/>
          <w:color w:val="000000"/>
          <w:shd w:val="clear" w:color="auto" w:fill="FFFFFF"/>
          <w:rtl/>
        </w:rPr>
        <w:t>المؤرخ</w:t>
      </w:r>
      <w:proofErr w:type="gramEnd"/>
      <w:r w:rsidRPr="0011597E">
        <w:rPr>
          <w:rFonts w:ascii="Arial" w:hAnsi="Arial" w:cs="Arial"/>
          <w:color w:val="000000"/>
          <w:shd w:val="clear" w:color="auto" w:fill="FFFFFF"/>
          <w:rtl/>
        </w:rPr>
        <w:t xml:space="preserve"> في 7 نوفمبر 1969 والمتعلق بإحداث وزارة أولى وضبط وظائف الوزير الأول،</w:t>
      </w:r>
    </w:p>
    <w:p w14:paraId="1AF4B88D" w14:textId="77777777" w:rsidR="0041278E" w:rsidRPr="0011597E" w:rsidRDefault="001868B8" w:rsidP="0011597E">
      <w:pPr>
        <w:tabs>
          <w:tab w:val="left" w:pos="1136"/>
        </w:tabs>
        <w:bidi/>
        <w:spacing w:before="100" w:beforeAutospacing="1" w:after="0"/>
        <w:ind w:left="283"/>
        <w:jc w:val="both"/>
        <w:rPr>
          <w:rStyle w:val="apple-converted-space"/>
          <w:rFonts w:ascii="Arial" w:hAnsi="Arial" w:cs="Arial"/>
          <w:color w:val="000000"/>
          <w:shd w:val="clear" w:color="auto" w:fill="FFFFFF"/>
          <w:rtl/>
          <w:lang w:bidi="ar-TN"/>
        </w:rPr>
      </w:pPr>
      <w:r w:rsidRPr="0011597E">
        <w:rPr>
          <w:rFonts w:ascii="Arial" w:hAnsi="Arial" w:cs="Arial"/>
          <w:color w:val="000000"/>
          <w:shd w:val="clear" w:color="auto" w:fill="FFFFFF"/>
          <w:rtl/>
        </w:rPr>
        <w:t>وعلى الأمر عـدد 1291 لسنة 1990 المؤرخ في 27 أوت 1990 والمتعلق بإحداث منحة خطر العدوى،</w:t>
      </w:r>
      <w:r w:rsidRPr="0011597E">
        <w:rPr>
          <w:rStyle w:val="apple-converted-space"/>
          <w:rFonts w:ascii="Arial" w:hAnsi="Arial" w:cs="Arial"/>
          <w:color w:val="000000"/>
          <w:shd w:val="clear" w:color="auto" w:fill="FFFFFF"/>
        </w:rPr>
        <w:t> </w:t>
      </w:r>
    </w:p>
    <w:p w14:paraId="153DB38D" w14:textId="77777777" w:rsidR="0041278E" w:rsidRPr="0011597E" w:rsidRDefault="001868B8" w:rsidP="0011597E">
      <w:pPr>
        <w:tabs>
          <w:tab w:val="left" w:pos="1136"/>
        </w:tabs>
        <w:bidi/>
        <w:spacing w:before="100" w:beforeAutospacing="1" w:after="0"/>
        <w:ind w:left="283"/>
        <w:jc w:val="both"/>
        <w:rPr>
          <w:rFonts w:ascii="Arial" w:hAnsi="Arial" w:cs="Arial"/>
          <w:color w:val="000000"/>
          <w:shd w:val="clear" w:color="auto" w:fill="FFFFFF"/>
          <w:rtl/>
          <w:lang w:bidi="ar-TN"/>
        </w:rPr>
      </w:pPr>
      <w:r w:rsidRPr="0011597E">
        <w:rPr>
          <w:rFonts w:ascii="Arial" w:hAnsi="Arial" w:cs="Arial"/>
          <w:color w:val="000000"/>
          <w:shd w:val="clear" w:color="auto" w:fill="FFFFFF"/>
          <w:rtl/>
        </w:rPr>
        <w:t xml:space="preserve">وعلى الأمر عـدد 1880 لسنة 1991 </w:t>
      </w:r>
      <w:proofErr w:type="gramStart"/>
      <w:r w:rsidRPr="0011597E">
        <w:rPr>
          <w:rFonts w:ascii="Arial" w:hAnsi="Arial" w:cs="Arial"/>
          <w:color w:val="000000"/>
          <w:shd w:val="clear" w:color="auto" w:fill="FFFFFF"/>
          <w:rtl/>
        </w:rPr>
        <w:t>المؤرخ</w:t>
      </w:r>
      <w:proofErr w:type="gramEnd"/>
      <w:r w:rsidRPr="0011597E">
        <w:rPr>
          <w:rFonts w:ascii="Arial" w:hAnsi="Arial" w:cs="Arial"/>
          <w:color w:val="000000"/>
          <w:shd w:val="clear" w:color="auto" w:fill="FFFFFF"/>
          <w:rtl/>
        </w:rPr>
        <w:t xml:space="preserve"> في 7 ديسمبر 1991 والمتعلق بإحداث منحة خطر العدوى،</w:t>
      </w:r>
    </w:p>
    <w:p w14:paraId="192F5F2B" w14:textId="77777777" w:rsidR="0041278E" w:rsidRPr="0011597E" w:rsidRDefault="001868B8" w:rsidP="0011597E">
      <w:pPr>
        <w:tabs>
          <w:tab w:val="left" w:pos="1136"/>
        </w:tabs>
        <w:bidi/>
        <w:spacing w:before="100" w:beforeAutospacing="1" w:after="0"/>
        <w:ind w:left="283"/>
        <w:jc w:val="both"/>
        <w:rPr>
          <w:rFonts w:ascii="Arial" w:hAnsi="Arial" w:cs="Arial"/>
          <w:color w:val="000000"/>
          <w:rtl/>
        </w:rPr>
      </w:pPr>
      <w:r w:rsidRPr="0011597E">
        <w:rPr>
          <w:rFonts w:ascii="Arial" w:hAnsi="Arial" w:cs="Arial"/>
          <w:color w:val="000000"/>
          <w:shd w:val="clear" w:color="auto" w:fill="FFFFFF"/>
          <w:rtl/>
        </w:rPr>
        <w:t xml:space="preserve">وعلى الأمر عـدد 2151 لسنة 1993 </w:t>
      </w:r>
      <w:proofErr w:type="gramStart"/>
      <w:r w:rsidRPr="0011597E">
        <w:rPr>
          <w:rFonts w:ascii="Arial" w:hAnsi="Arial" w:cs="Arial"/>
          <w:color w:val="000000"/>
          <w:shd w:val="clear" w:color="auto" w:fill="FFFFFF"/>
          <w:rtl/>
        </w:rPr>
        <w:t>المؤرخ</w:t>
      </w:r>
      <w:proofErr w:type="gramEnd"/>
      <w:r w:rsidRPr="0011597E">
        <w:rPr>
          <w:rFonts w:ascii="Arial" w:hAnsi="Arial" w:cs="Arial"/>
          <w:color w:val="000000"/>
          <w:shd w:val="clear" w:color="auto" w:fill="FFFFFF"/>
          <w:rtl/>
        </w:rPr>
        <w:t xml:space="preserve"> في أول نوفمبر 1993 والمتعلق بضبط مقادير منحة خطر العدوى،</w:t>
      </w:r>
    </w:p>
    <w:p w14:paraId="762E2DDF" w14:textId="77777777" w:rsidR="00787945" w:rsidRPr="0011597E" w:rsidRDefault="001868B8" w:rsidP="0011597E">
      <w:pPr>
        <w:tabs>
          <w:tab w:val="left" w:pos="1136"/>
        </w:tabs>
        <w:bidi/>
        <w:spacing w:before="100" w:beforeAutospacing="1" w:after="0"/>
        <w:ind w:left="283"/>
        <w:jc w:val="both"/>
        <w:rPr>
          <w:rFonts w:ascii="Arial" w:hAnsi="Arial" w:cs="Arial"/>
          <w:color w:val="000000"/>
          <w:shd w:val="clear" w:color="auto" w:fill="FFFFFF"/>
          <w:rtl/>
        </w:rPr>
      </w:pPr>
      <w:proofErr w:type="gramStart"/>
      <w:r w:rsidRPr="0011597E">
        <w:rPr>
          <w:rFonts w:ascii="Arial" w:hAnsi="Arial" w:cs="Arial"/>
          <w:color w:val="000000"/>
          <w:shd w:val="clear" w:color="auto" w:fill="FFFFFF"/>
          <w:rtl/>
        </w:rPr>
        <w:t>وعلى</w:t>
      </w:r>
      <w:proofErr w:type="gramEnd"/>
      <w:r w:rsidRPr="0011597E">
        <w:rPr>
          <w:rFonts w:ascii="Arial" w:hAnsi="Arial" w:cs="Arial"/>
          <w:color w:val="000000"/>
          <w:shd w:val="clear" w:color="auto" w:fill="FFFFFF"/>
          <w:rtl/>
        </w:rPr>
        <w:t xml:space="preserve"> الأمر عـدد 4048 لسنة 2008 المؤرخ في 30 ديسمبر 2008 والمتعلق بضبط الزيادة الجملية في مقادير منحة خطر العدوى طيلة الفترة 2008 ـ 2010 وإسناد القسط الأول منها لفائدة الأعوان المنتفعين بها</w:t>
      </w:r>
      <w:r w:rsidR="00787945" w:rsidRPr="0011597E">
        <w:rPr>
          <w:rFonts w:ascii="Arial" w:hAnsi="Arial" w:cs="Arial"/>
          <w:color w:val="000000"/>
          <w:shd w:val="clear" w:color="auto" w:fill="FFFFFF"/>
          <w:rtl/>
        </w:rPr>
        <w:t>،</w:t>
      </w:r>
    </w:p>
    <w:p w14:paraId="0C15D040" w14:textId="77777777" w:rsidR="00787945" w:rsidRPr="0011597E" w:rsidRDefault="001868B8" w:rsidP="0011597E">
      <w:pPr>
        <w:tabs>
          <w:tab w:val="left" w:pos="1136"/>
        </w:tabs>
        <w:bidi/>
        <w:spacing w:before="100" w:beforeAutospacing="1" w:after="0"/>
        <w:ind w:left="283"/>
        <w:jc w:val="both"/>
        <w:rPr>
          <w:rFonts w:ascii="Arial" w:hAnsi="Arial" w:cs="Arial"/>
          <w:color w:val="000000"/>
          <w:rtl/>
        </w:rPr>
      </w:pPr>
      <w:r w:rsidRPr="0011597E">
        <w:rPr>
          <w:rFonts w:ascii="Arial" w:hAnsi="Arial" w:cs="Arial"/>
          <w:color w:val="000000"/>
          <w:shd w:val="clear" w:color="auto" w:fill="FFFFFF"/>
          <w:rtl/>
        </w:rPr>
        <w:t>وعلى الأمر عدد 2092 لسنة 2009 المؤرخ في 8 جويلية 2009 والمتعلق بإسناد القسط الثاني من الزيادة الجملية في مقادير منحة خطر العدوى لفائدة الأعوان المنتفعين بها بعنوان سنة 2009،</w:t>
      </w:r>
    </w:p>
    <w:p w14:paraId="39EA2983" w14:textId="77777777" w:rsidR="00787945" w:rsidRPr="0011597E" w:rsidRDefault="001868B8" w:rsidP="0011597E">
      <w:pPr>
        <w:tabs>
          <w:tab w:val="left" w:pos="1136"/>
        </w:tabs>
        <w:bidi/>
        <w:spacing w:before="100" w:beforeAutospacing="1" w:after="0"/>
        <w:ind w:left="283"/>
        <w:jc w:val="both"/>
        <w:rPr>
          <w:rFonts w:ascii="Arial" w:hAnsi="Arial" w:cs="Arial"/>
          <w:color w:val="000000"/>
          <w:rtl/>
        </w:rPr>
      </w:pPr>
      <w:r w:rsidRPr="0011597E">
        <w:rPr>
          <w:rFonts w:ascii="Arial" w:hAnsi="Arial" w:cs="Arial"/>
          <w:color w:val="000000"/>
          <w:shd w:val="clear" w:color="auto" w:fill="FFFFFF"/>
          <w:rtl/>
        </w:rPr>
        <w:t>وعلى الأمر عـدد 1980 لسنة 2010 المؤرخ في 16 أوت 2010 والمتعلق بإسناد القسط الثالث من الزيادة الجملية في مقادير منحة خطر العدوى لفائدة الأعوان المنتفعين بها بعنوان سنة 2010</w:t>
      </w:r>
      <w:r w:rsidRPr="0011597E">
        <w:rPr>
          <w:rFonts w:ascii="Arial" w:hAnsi="Arial" w:cs="Arial"/>
          <w:color w:val="000000"/>
          <w:shd w:val="clear" w:color="auto" w:fill="FFFFFF"/>
        </w:rPr>
        <w:t>.</w:t>
      </w:r>
    </w:p>
    <w:p w14:paraId="1DE17CAA" w14:textId="77777777" w:rsidR="00787945" w:rsidRPr="0011597E" w:rsidRDefault="001868B8" w:rsidP="0011597E">
      <w:pPr>
        <w:tabs>
          <w:tab w:val="left" w:pos="1136"/>
        </w:tabs>
        <w:bidi/>
        <w:spacing w:before="100" w:beforeAutospacing="1" w:after="0"/>
        <w:ind w:left="283"/>
        <w:jc w:val="both"/>
        <w:rPr>
          <w:rFonts w:ascii="Arial" w:hAnsi="Arial" w:cs="Arial"/>
          <w:color w:val="000000"/>
          <w:rtl/>
        </w:rPr>
      </w:pPr>
      <w:proofErr w:type="gramStart"/>
      <w:r w:rsidRPr="0011597E">
        <w:rPr>
          <w:rFonts w:ascii="Arial" w:hAnsi="Arial" w:cs="Arial"/>
          <w:color w:val="000000"/>
          <w:shd w:val="clear" w:color="auto" w:fill="FFFFFF"/>
          <w:rtl/>
        </w:rPr>
        <w:t>وعلى</w:t>
      </w:r>
      <w:proofErr w:type="gramEnd"/>
      <w:r w:rsidRPr="0011597E">
        <w:rPr>
          <w:rFonts w:ascii="Arial" w:hAnsi="Arial" w:cs="Arial"/>
          <w:color w:val="000000"/>
          <w:shd w:val="clear" w:color="auto" w:fill="FFFFFF"/>
          <w:rtl/>
        </w:rPr>
        <w:t xml:space="preserve"> رأي وزير المالية،</w:t>
      </w:r>
    </w:p>
    <w:p w14:paraId="13318452" w14:textId="77777777" w:rsidR="00787945" w:rsidRPr="0011597E" w:rsidRDefault="001868B8" w:rsidP="0011597E">
      <w:pPr>
        <w:tabs>
          <w:tab w:val="left" w:pos="1136"/>
        </w:tabs>
        <w:bidi/>
        <w:spacing w:before="100" w:beforeAutospacing="1" w:after="0"/>
        <w:ind w:left="283"/>
        <w:jc w:val="both"/>
        <w:rPr>
          <w:rFonts w:ascii="Arial" w:hAnsi="Arial" w:cs="Arial"/>
          <w:color w:val="000000"/>
          <w:rtl/>
        </w:rPr>
      </w:pPr>
      <w:proofErr w:type="gramStart"/>
      <w:r w:rsidRPr="0011597E">
        <w:rPr>
          <w:rFonts w:ascii="Arial" w:hAnsi="Arial" w:cs="Arial"/>
          <w:color w:val="000000"/>
          <w:shd w:val="clear" w:color="auto" w:fill="FFFFFF"/>
          <w:rtl/>
        </w:rPr>
        <w:t>وعلى</w:t>
      </w:r>
      <w:proofErr w:type="gramEnd"/>
      <w:r w:rsidRPr="0011597E">
        <w:rPr>
          <w:rFonts w:ascii="Arial" w:hAnsi="Arial" w:cs="Arial"/>
          <w:color w:val="000000"/>
          <w:shd w:val="clear" w:color="auto" w:fill="FFFFFF"/>
          <w:rtl/>
        </w:rPr>
        <w:t xml:space="preserve"> رأي المحكمة الإدارية</w:t>
      </w:r>
      <w:r w:rsidRPr="0011597E">
        <w:rPr>
          <w:rFonts w:ascii="Arial" w:hAnsi="Arial" w:cs="Arial"/>
          <w:color w:val="000000"/>
          <w:shd w:val="clear" w:color="auto" w:fill="FFFFFF"/>
        </w:rPr>
        <w:t>.</w:t>
      </w:r>
    </w:p>
    <w:p w14:paraId="7CA58353" w14:textId="77777777" w:rsidR="00787945" w:rsidRPr="0011597E" w:rsidRDefault="001868B8" w:rsidP="0011597E">
      <w:pPr>
        <w:tabs>
          <w:tab w:val="left" w:pos="1136"/>
        </w:tabs>
        <w:bidi/>
        <w:spacing w:before="100" w:beforeAutospacing="1" w:after="0"/>
        <w:ind w:left="283"/>
        <w:jc w:val="both"/>
        <w:rPr>
          <w:rFonts w:ascii="Arial" w:hAnsi="Arial" w:cs="Arial"/>
          <w:color w:val="000000"/>
          <w:rtl/>
        </w:rPr>
      </w:pPr>
      <w:r w:rsidRPr="0011597E">
        <w:rPr>
          <w:rFonts w:ascii="Arial" w:hAnsi="Arial" w:cs="Arial"/>
          <w:color w:val="000000"/>
          <w:shd w:val="clear" w:color="auto" w:fill="FFFFFF"/>
          <w:rtl/>
        </w:rPr>
        <w:t>يصدر الأمـر الآتي نصـه</w:t>
      </w:r>
      <w:r w:rsidRPr="0011597E">
        <w:rPr>
          <w:rFonts w:ascii="Arial" w:hAnsi="Arial" w:cs="Arial"/>
          <w:color w:val="000000"/>
          <w:shd w:val="clear" w:color="auto" w:fill="FFFFFF"/>
        </w:rPr>
        <w:t xml:space="preserve"> :</w:t>
      </w:r>
    </w:p>
    <w:p w14:paraId="79F7AB19" w14:textId="77777777" w:rsidR="00103253" w:rsidRPr="0011597E" w:rsidRDefault="00787945" w:rsidP="0011597E">
      <w:pPr>
        <w:tabs>
          <w:tab w:val="left" w:pos="1136"/>
        </w:tabs>
        <w:bidi/>
        <w:spacing w:before="100" w:beforeAutospacing="1" w:after="0"/>
        <w:ind w:left="283"/>
        <w:jc w:val="both"/>
        <w:rPr>
          <w:rFonts w:ascii="Arial" w:hAnsi="Arial" w:cs="Arial"/>
          <w:color w:val="000000"/>
          <w:rtl/>
        </w:rPr>
      </w:pPr>
      <w:r w:rsidRPr="0011597E">
        <w:rPr>
          <w:rFonts w:ascii="Arial" w:hAnsi="Arial" w:cs="Arial"/>
          <w:b/>
          <w:bCs/>
          <w:color w:val="000000"/>
          <w:shd w:val="clear" w:color="auto" w:fill="FFFFFF"/>
          <w:rtl/>
        </w:rPr>
        <w:t>الفصــل الأول –</w:t>
      </w:r>
      <w:r w:rsidRPr="0011597E">
        <w:rPr>
          <w:rFonts w:ascii="Arial" w:hAnsi="Arial" w:cs="Arial"/>
          <w:color w:val="000000"/>
          <w:shd w:val="clear" w:color="auto" w:fill="FFFFFF"/>
          <w:rtl/>
        </w:rPr>
        <w:t xml:space="preserve"> </w:t>
      </w:r>
      <w:r w:rsidR="001868B8" w:rsidRPr="0011597E">
        <w:rPr>
          <w:rFonts w:ascii="Arial" w:hAnsi="Arial" w:cs="Arial"/>
          <w:color w:val="000000"/>
          <w:shd w:val="clear" w:color="auto" w:fill="FFFFFF"/>
          <w:rtl/>
        </w:rPr>
        <w:t>يرفع ابتداء من أول جويلية 2011 في مقادير منحة خطر العدوى لفائدة الأعوان المنتفعين بها طبقا لبيانات الجدولين التاليين</w:t>
      </w:r>
      <w:r w:rsidR="001868B8" w:rsidRPr="0011597E">
        <w:rPr>
          <w:rFonts w:ascii="Arial" w:hAnsi="Arial" w:cs="Arial"/>
          <w:color w:val="000000"/>
          <w:shd w:val="clear" w:color="auto" w:fill="FFFFFF"/>
        </w:rPr>
        <w:t xml:space="preserve"> :</w:t>
      </w:r>
    </w:p>
    <w:p w14:paraId="0227617F" w14:textId="77777777" w:rsidR="00103253" w:rsidRPr="0011597E" w:rsidRDefault="001868B8" w:rsidP="0011597E">
      <w:pPr>
        <w:pStyle w:val="Paragraphedeliste"/>
        <w:numPr>
          <w:ilvl w:val="0"/>
          <w:numId w:val="36"/>
        </w:numPr>
        <w:tabs>
          <w:tab w:val="left" w:pos="1136"/>
        </w:tabs>
        <w:bidi/>
        <w:spacing w:before="100" w:beforeAutospacing="1" w:after="0"/>
        <w:ind w:left="1494"/>
        <w:jc w:val="both"/>
        <w:rPr>
          <w:rFonts w:ascii="Arial" w:hAnsi="Arial" w:cs="Arial"/>
          <w:color w:val="000000"/>
          <w:shd w:val="clear" w:color="auto" w:fill="FFFFFF"/>
        </w:rPr>
      </w:pPr>
      <w:r w:rsidRPr="0011597E">
        <w:rPr>
          <w:rFonts w:ascii="Arial" w:hAnsi="Arial" w:cs="Arial"/>
          <w:color w:val="000000"/>
          <w:shd w:val="clear" w:color="auto" w:fill="FFFFFF"/>
          <w:rtl/>
        </w:rPr>
        <w:t xml:space="preserve">بالنسبة إلى </w:t>
      </w:r>
      <w:proofErr w:type="gramStart"/>
      <w:r w:rsidRPr="0011597E">
        <w:rPr>
          <w:rFonts w:ascii="Arial" w:hAnsi="Arial" w:cs="Arial"/>
          <w:color w:val="000000"/>
          <w:shd w:val="clear" w:color="auto" w:fill="FFFFFF"/>
          <w:rtl/>
        </w:rPr>
        <w:t>الموظفين</w:t>
      </w:r>
      <w:r w:rsidRPr="0011597E">
        <w:rPr>
          <w:rFonts w:ascii="Arial" w:hAnsi="Arial" w:cs="Arial"/>
          <w:color w:val="000000"/>
          <w:shd w:val="clear" w:color="auto" w:fill="FFFFFF"/>
        </w:rPr>
        <w:t xml:space="preserve"> </w:t>
      </w:r>
      <w:r w:rsidR="00103253" w:rsidRPr="0011597E">
        <w:rPr>
          <w:rFonts w:ascii="Arial" w:hAnsi="Arial" w:cs="Arial"/>
          <w:color w:val="000000"/>
          <w:shd w:val="clear" w:color="auto" w:fill="FFFFFF"/>
          <w:rtl/>
          <w:lang w:bidi="ar-TN"/>
        </w:rPr>
        <w:t>:</w:t>
      </w:r>
      <w:proofErr w:type="gramEnd"/>
    </w:p>
    <w:tbl>
      <w:tblPr>
        <w:tblStyle w:val="Grilledutableau"/>
        <w:bidiVisual/>
        <w:tblW w:w="0" w:type="auto"/>
        <w:jc w:val="center"/>
        <w:tblInd w:w="2024" w:type="dxa"/>
        <w:tblLook w:val="04A0" w:firstRow="1" w:lastRow="0" w:firstColumn="1" w:lastColumn="0" w:noHBand="0" w:noVBand="1"/>
      </w:tblPr>
      <w:tblGrid>
        <w:gridCol w:w="3487"/>
        <w:gridCol w:w="4341"/>
      </w:tblGrid>
      <w:tr w:rsidR="00103253" w:rsidRPr="0011597E" w14:paraId="72E31076" w14:textId="77777777" w:rsidTr="00103253">
        <w:trPr>
          <w:jc w:val="center"/>
        </w:trPr>
        <w:tc>
          <w:tcPr>
            <w:tcW w:w="7828" w:type="dxa"/>
            <w:gridSpan w:val="2"/>
            <w:vAlign w:val="center"/>
          </w:tcPr>
          <w:p w14:paraId="167A74E4" w14:textId="128EA717" w:rsidR="00103253" w:rsidRPr="0011597E" w:rsidRDefault="00103253" w:rsidP="00103253">
            <w:pPr>
              <w:pStyle w:val="Paragraphedeliste"/>
              <w:tabs>
                <w:tab w:val="left" w:pos="1136"/>
              </w:tabs>
              <w:bidi/>
              <w:spacing w:after="0"/>
              <w:ind w:left="0"/>
              <w:jc w:val="right"/>
              <w:rPr>
                <w:rFonts w:ascii="Arial" w:hAnsi="Arial" w:cs="Arial"/>
                <w:b/>
                <w:bCs/>
                <w:color w:val="000000"/>
                <w:shd w:val="clear" w:color="auto" w:fill="FFFFFF"/>
                <w:rtl/>
              </w:rPr>
            </w:pPr>
            <w:proofErr w:type="gramStart"/>
            <w:r w:rsidRPr="0011597E">
              <w:rPr>
                <w:rFonts w:ascii="Arial" w:hAnsi="Arial" w:cs="Arial"/>
                <w:b/>
                <w:bCs/>
                <w:color w:val="000000"/>
                <w:shd w:val="clear" w:color="auto" w:fill="FFFFFF"/>
                <w:rtl/>
              </w:rPr>
              <w:t>بحساب</w:t>
            </w:r>
            <w:proofErr w:type="gramEnd"/>
            <w:r w:rsidRPr="0011597E">
              <w:rPr>
                <w:rFonts w:ascii="Arial" w:hAnsi="Arial" w:cs="Arial"/>
                <w:b/>
                <w:bCs/>
                <w:color w:val="000000"/>
                <w:shd w:val="clear" w:color="auto" w:fill="FFFFFF"/>
                <w:rtl/>
              </w:rPr>
              <w:t xml:space="preserve"> الدينار</w:t>
            </w:r>
          </w:p>
        </w:tc>
      </w:tr>
      <w:tr w:rsidR="00103253" w:rsidRPr="0011597E" w14:paraId="6C0D4D51" w14:textId="77777777" w:rsidTr="0011597E">
        <w:trPr>
          <w:jc w:val="center"/>
        </w:trPr>
        <w:tc>
          <w:tcPr>
            <w:tcW w:w="3487" w:type="dxa"/>
            <w:vAlign w:val="center"/>
          </w:tcPr>
          <w:p w14:paraId="0BFB8392" w14:textId="51C5EDB2" w:rsidR="00103253" w:rsidRPr="0011597E" w:rsidRDefault="00103253" w:rsidP="00103253">
            <w:pPr>
              <w:pStyle w:val="Paragraphedeliste"/>
              <w:tabs>
                <w:tab w:val="left" w:pos="1136"/>
              </w:tabs>
              <w:bidi/>
              <w:spacing w:after="0"/>
              <w:ind w:left="0"/>
              <w:jc w:val="center"/>
              <w:rPr>
                <w:rFonts w:ascii="Arial" w:hAnsi="Arial" w:cs="Arial"/>
                <w:b/>
                <w:bCs/>
                <w:color w:val="000000"/>
                <w:shd w:val="clear" w:color="auto" w:fill="FFFFFF"/>
                <w:rtl/>
              </w:rPr>
            </w:pPr>
            <w:r w:rsidRPr="0011597E">
              <w:rPr>
                <w:rFonts w:ascii="Arial" w:hAnsi="Arial" w:cs="Arial"/>
                <w:b/>
                <w:bCs/>
                <w:color w:val="000000"/>
                <w:shd w:val="clear" w:color="auto" w:fill="FFFFFF"/>
                <w:rtl/>
              </w:rPr>
              <w:t xml:space="preserve">الأصناف </w:t>
            </w:r>
            <w:proofErr w:type="gramStart"/>
            <w:r w:rsidRPr="0011597E">
              <w:rPr>
                <w:rFonts w:ascii="Arial" w:hAnsi="Arial" w:cs="Arial"/>
                <w:b/>
                <w:bCs/>
                <w:color w:val="000000"/>
                <w:shd w:val="clear" w:color="auto" w:fill="FFFFFF"/>
                <w:rtl/>
              </w:rPr>
              <w:t>والأصناف</w:t>
            </w:r>
            <w:proofErr w:type="gramEnd"/>
            <w:r w:rsidRPr="0011597E">
              <w:rPr>
                <w:rFonts w:ascii="Arial" w:hAnsi="Arial" w:cs="Arial"/>
                <w:b/>
                <w:bCs/>
                <w:color w:val="000000"/>
                <w:shd w:val="clear" w:color="auto" w:fill="FFFFFF"/>
                <w:rtl/>
              </w:rPr>
              <w:t xml:space="preserve"> الفرعية</w:t>
            </w:r>
          </w:p>
        </w:tc>
        <w:tc>
          <w:tcPr>
            <w:tcW w:w="4341" w:type="dxa"/>
            <w:vAlign w:val="center"/>
          </w:tcPr>
          <w:p w14:paraId="4AF31F87" w14:textId="237C67AB" w:rsidR="00103253" w:rsidRPr="0011597E" w:rsidRDefault="00103253" w:rsidP="00103253">
            <w:pPr>
              <w:pStyle w:val="Paragraphedeliste"/>
              <w:tabs>
                <w:tab w:val="left" w:pos="1136"/>
              </w:tabs>
              <w:bidi/>
              <w:spacing w:after="0"/>
              <w:ind w:left="0"/>
              <w:jc w:val="center"/>
              <w:rPr>
                <w:rFonts w:ascii="Arial" w:hAnsi="Arial" w:cs="Arial"/>
                <w:b/>
                <w:bCs/>
                <w:color w:val="000000"/>
                <w:shd w:val="clear" w:color="auto" w:fill="FFFFFF"/>
                <w:rtl/>
              </w:rPr>
            </w:pPr>
            <w:r w:rsidRPr="0011597E">
              <w:rPr>
                <w:rFonts w:ascii="Arial" w:hAnsi="Arial" w:cs="Arial"/>
                <w:b/>
                <w:bCs/>
                <w:color w:val="000000"/>
                <w:shd w:val="clear" w:color="auto" w:fill="FFFFFF"/>
                <w:rtl/>
              </w:rPr>
              <w:t>مقدار الزيادة الشهرية ابتداء من غرة جويلية 2011</w:t>
            </w:r>
          </w:p>
        </w:tc>
      </w:tr>
      <w:tr w:rsidR="00103253" w:rsidRPr="0011597E" w14:paraId="1559364C" w14:textId="77777777" w:rsidTr="0011597E">
        <w:trPr>
          <w:jc w:val="center"/>
        </w:trPr>
        <w:tc>
          <w:tcPr>
            <w:tcW w:w="3487" w:type="dxa"/>
          </w:tcPr>
          <w:p w14:paraId="555BFD02" w14:textId="7D6D41B2" w:rsidR="00103253" w:rsidRPr="0011597E" w:rsidRDefault="00103253" w:rsidP="00103253">
            <w:pPr>
              <w:pStyle w:val="Paragraphedeliste"/>
              <w:tabs>
                <w:tab w:val="left" w:pos="1136"/>
              </w:tabs>
              <w:bidi/>
              <w:spacing w:after="0"/>
              <w:ind w:left="0"/>
              <w:jc w:val="both"/>
              <w:rPr>
                <w:rFonts w:ascii="Arial" w:hAnsi="Arial" w:cs="Arial"/>
                <w:b/>
                <w:bCs/>
                <w:color w:val="000000"/>
                <w:shd w:val="clear" w:color="auto" w:fill="FFFFFF"/>
                <w:rtl/>
              </w:rPr>
            </w:pPr>
            <w:r w:rsidRPr="0011597E">
              <w:rPr>
                <w:rFonts w:ascii="Arial" w:hAnsi="Arial" w:cs="Arial"/>
                <w:color w:val="000000"/>
                <w:shd w:val="clear" w:color="auto" w:fill="FFFFFF"/>
                <w:rtl/>
              </w:rPr>
              <w:t>صنف أ1</w:t>
            </w:r>
          </w:p>
        </w:tc>
        <w:tc>
          <w:tcPr>
            <w:tcW w:w="4341" w:type="dxa"/>
            <w:vAlign w:val="center"/>
          </w:tcPr>
          <w:p w14:paraId="450614D0" w14:textId="76A1C7C6" w:rsidR="00103253" w:rsidRPr="0011597E" w:rsidRDefault="00103253" w:rsidP="00103253">
            <w:pPr>
              <w:pStyle w:val="Paragraphedeliste"/>
              <w:tabs>
                <w:tab w:val="left" w:pos="1136"/>
              </w:tabs>
              <w:bidi/>
              <w:spacing w:after="0"/>
              <w:ind w:left="0"/>
              <w:jc w:val="center"/>
              <w:rPr>
                <w:rFonts w:ascii="Arial" w:hAnsi="Arial" w:cs="Arial"/>
                <w:color w:val="000000"/>
                <w:shd w:val="clear" w:color="auto" w:fill="FFFFFF"/>
                <w:rtl/>
              </w:rPr>
            </w:pPr>
            <w:r w:rsidRPr="0011597E">
              <w:rPr>
                <w:rFonts w:ascii="Arial" w:hAnsi="Arial" w:cs="Arial"/>
                <w:color w:val="000000"/>
                <w:shd w:val="clear" w:color="auto" w:fill="FFFFFF"/>
                <w:rtl/>
              </w:rPr>
              <w:t>56</w:t>
            </w:r>
          </w:p>
        </w:tc>
      </w:tr>
      <w:tr w:rsidR="00103253" w:rsidRPr="0011597E" w14:paraId="0D253EE9" w14:textId="77777777" w:rsidTr="0011597E">
        <w:trPr>
          <w:jc w:val="center"/>
        </w:trPr>
        <w:tc>
          <w:tcPr>
            <w:tcW w:w="3487" w:type="dxa"/>
          </w:tcPr>
          <w:p w14:paraId="1A84C712" w14:textId="00742959" w:rsidR="00103253" w:rsidRPr="0011597E" w:rsidRDefault="00103253" w:rsidP="00103253">
            <w:pPr>
              <w:pStyle w:val="Paragraphedeliste"/>
              <w:tabs>
                <w:tab w:val="left" w:pos="1136"/>
              </w:tabs>
              <w:bidi/>
              <w:spacing w:after="0"/>
              <w:ind w:left="0"/>
              <w:jc w:val="both"/>
              <w:rPr>
                <w:rFonts w:ascii="Arial" w:hAnsi="Arial" w:cs="Arial"/>
                <w:color w:val="000000"/>
                <w:shd w:val="clear" w:color="auto" w:fill="FFFFFF"/>
                <w:rtl/>
              </w:rPr>
            </w:pPr>
            <w:r w:rsidRPr="0011597E">
              <w:rPr>
                <w:rFonts w:ascii="Arial" w:hAnsi="Arial" w:cs="Arial"/>
                <w:color w:val="000000"/>
                <w:shd w:val="clear" w:color="auto" w:fill="FFFFFF"/>
                <w:rtl/>
              </w:rPr>
              <w:t>صنف</w:t>
            </w:r>
            <w:r w:rsidRPr="0011597E">
              <w:rPr>
                <w:rFonts w:ascii="Arial" w:hAnsi="Arial" w:cs="Arial"/>
                <w:color w:val="000000"/>
                <w:shd w:val="clear" w:color="auto" w:fill="FFFFFF"/>
                <w:rtl/>
              </w:rPr>
              <w:t xml:space="preserve"> أ2</w:t>
            </w:r>
          </w:p>
        </w:tc>
        <w:tc>
          <w:tcPr>
            <w:tcW w:w="4341" w:type="dxa"/>
            <w:vAlign w:val="center"/>
          </w:tcPr>
          <w:p w14:paraId="72D5BF9F" w14:textId="3779E56A" w:rsidR="00103253" w:rsidRPr="0011597E" w:rsidRDefault="00103253" w:rsidP="00103253">
            <w:pPr>
              <w:pStyle w:val="Paragraphedeliste"/>
              <w:tabs>
                <w:tab w:val="left" w:pos="1136"/>
              </w:tabs>
              <w:bidi/>
              <w:spacing w:after="0"/>
              <w:ind w:left="0"/>
              <w:jc w:val="center"/>
              <w:rPr>
                <w:rFonts w:ascii="Arial" w:hAnsi="Arial" w:cs="Arial"/>
                <w:color w:val="000000"/>
                <w:shd w:val="clear" w:color="auto" w:fill="FFFFFF"/>
                <w:rtl/>
              </w:rPr>
            </w:pPr>
            <w:r w:rsidRPr="0011597E">
              <w:rPr>
                <w:rFonts w:ascii="Arial" w:hAnsi="Arial" w:cs="Arial"/>
                <w:color w:val="000000"/>
                <w:shd w:val="clear" w:color="auto" w:fill="FFFFFF"/>
                <w:rtl/>
              </w:rPr>
              <w:t>50</w:t>
            </w:r>
          </w:p>
        </w:tc>
      </w:tr>
      <w:tr w:rsidR="00103253" w:rsidRPr="0011597E" w14:paraId="584CE5CF" w14:textId="77777777" w:rsidTr="0011597E">
        <w:trPr>
          <w:jc w:val="center"/>
        </w:trPr>
        <w:tc>
          <w:tcPr>
            <w:tcW w:w="3487" w:type="dxa"/>
          </w:tcPr>
          <w:p w14:paraId="68EB25C4" w14:textId="05C3A920" w:rsidR="00103253" w:rsidRPr="0011597E" w:rsidRDefault="00103253" w:rsidP="00103253">
            <w:pPr>
              <w:pStyle w:val="Paragraphedeliste"/>
              <w:tabs>
                <w:tab w:val="left" w:pos="1136"/>
              </w:tabs>
              <w:bidi/>
              <w:spacing w:after="0"/>
              <w:ind w:left="0"/>
              <w:jc w:val="both"/>
              <w:rPr>
                <w:rFonts w:ascii="Arial" w:hAnsi="Arial" w:cs="Arial"/>
                <w:color w:val="000000"/>
                <w:shd w:val="clear" w:color="auto" w:fill="FFFFFF"/>
                <w:rtl/>
              </w:rPr>
            </w:pPr>
            <w:r w:rsidRPr="0011597E">
              <w:rPr>
                <w:rFonts w:ascii="Arial" w:hAnsi="Arial" w:cs="Arial"/>
                <w:color w:val="000000"/>
                <w:shd w:val="clear" w:color="auto" w:fill="FFFFFF"/>
                <w:rtl/>
              </w:rPr>
              <w:t>صنف</w:t>
            </w:r>
            <w:r w:rsidRPr="0011597E">
              <w:rPr>
                <w:rFonts w:ascii="Arial" w:hAnsi="Arial" w:cs="Arial"/>
                <w:color w:val="000000"/>
                <w:shd w:val="clear" w:color="auto" w:fill="FFFFFF"/>
                <w:rtl/>
              </w:rPr>
              <w:t xml:space="preserve"> أ3</w:t>
            </w:r>
          </w:p>
        </w:tc>
        <w:tc>
          <w:tcPr>
            <w:tcW w:w="4341" w:type="dxa"/>
            <w:vAlign w:val="center"/>
          </w:tcPr>
          <w:p w14:paraId="2014C817" w14:textId="5A62D392" w:rsidR="00103253" w:rsidRPr="0011597E" w:rsidRDefault="00103253" w:rsidP="00103253">
            <w:pPr>
              <w:pStyle w:val="Paragraphedeliste"/>
              <w:tabs>
                <w:tab w:val="left" w:pos="1136"/>
              </w:tabs>
              <w:bidi/>
              <w:spacing w:after="0"/>
              <w:ind w:left="0"/>
              <w:jc w:val="center"/>
              <w:rPr>
                <w:rFonts w:ascii="Arial" w:hAnsi="Arial" w:cs="Arial"/>
                <w:color w:val="000000"/>
                <w:shd w:val="clear" w:color="auto" w:fill="FFFFFF"/>
                <w:rtl/>
              </w:rPr>
            </w:pPr>
            <w:r w:rsidRPr="0011597E">
              <w:rPr>
                <w:rFonts w:ascii="Arial" w:hAnsi="Arial" w:cs="Arial"/>
                <w:color w:val="000000"/>
                <w:shd w:val="clear" w:color="auto" w:fill="FFFFFF"/>
                <w:rtl/>
              </w:rPr>
              <w:t>44</w:t>
            </w:r>
          </w:p>
        </w:tc>
      </w:tr>
      <w:tr w:rsidR="00103253" w:rsidRPr="0011597E" w14:paraId="526EE9A5" w14:textId="77777777" w:rsidTr="0011597E">
        <w:trPr>
          <w:jc w:val="center"/>
        </w:trPr>
        <w:tc>
          <w:tcPr>
            <w:tcW w:w="3487" w:type="dxa"/>
          </w:tcPr>
          <w:p w14:paraId="19190CAB" w14:textId="1BA8EFAD" w:rsidR="00103253" w:rsidRPr="0011597E" w:rsidRDefault="00103253" w:rsidP="00103253">
            <w:pPr>
              <w:pStyle w:val="Paragraphedeliste"/>
              <w:tabs>
                <w:tab w:val="left" w:pos="1136"/>
              </w:tabs>
              <w:bidi/>
              <w:spacing w:after="0"/>
              <w:ind w:left="0"/>
              <w:jc w:val="both"/>
              <w:rPr>
                <w:rFonts w:ascii="Arial" w:hAnsi="Arial" w:cs="Arial"/>
                <w:color w:val="000000"/>
                <w:shd w:val="clear" w:color="auto" w:fill="FFFFFF"/>
                <w:rtl/>
              </w:rPr>
            </w:pPr>
            <w:r w:rsidRPr="0011597E">
              <w:rPr>
                <w:rFonts w:ascii="Arial" w:hAnsi="Arial" w:cs="Arial"/>
                <w:color w:val="000000"/>
                <w:shd w:val="clear" w:color="auto" w:fill="FFFFFF"/>
                <w:rtl/>
              </w:rPr>
              <w:lastRenderedPageBreak/>
              <w:t>صنف</w:t>
            </w:r>
            <w:r w:rsidRPr="0011597E">
              <w:rPr>
                <w:rFonts w:ascii="Arial" w:hAnsi="Arial" w:cs="Arial"/>
                <w:color w:val="000000"/>
                <w:shd w:val="clear" w:color="auto" w:fill="FFFFFF"/>
                <w:rtl/>
              </w:rPr>
              <w:t xml:space="preserve"> ب</w:t>
            </w:r>
          </w:p>
        </w:tc>
        <w:tc>
          <w:tcPr>
            <w:tcW w:w="4341" w:type="dxa"/>
            <w:vAlign w:val="center"/>
          </w:tcPr>
          <w:p w14:paraId="7107C71F" w14:textId="1C5B6D7F" w:rsidR="00103253" w:rsidRPr="0011597E" w:rsidRDefault="00103253" w:rsidP="00103253">
            <w:pPr>
              <w:pStyle w:val="Paragraphedeliste"/>
              <w:tabs>
                <w:tab w:val="left" w:pos="1136"/>
              </w:tabs>
              <w:bidi/>
              <w:spacing w:after="0"/>
              <w:ind w:left="0"/>
              <w:jc w:val="center"/>
              <w:rPr>
                <w:rFonts w:ascii="Arial" w:hAnsi="Arial" w:cs="Arial"/>
                <w:color w:val="000000"/>
                <w:shd w:val="clear" w:color="auto" w:fill="FFFFFF"/>
                <w:rtl/>
              </w:rPr>
            </w:pPr>
            <w:r w:rsidRPr="0011597E">
              <w:rPr>
                <w:rFonts w:ascii="Arial" w:hAnsi="Arial" w:cs="Arial"/>
                <w:color w:val="000000"/>
                <w:shd w:val="clear" w:color="auto" w:fill="FFFFFF"/>
                <w:rtl/>
              </w:rPr>
              <w:t>35</w:t>
            </w:r>
          </w:p>
        </w:tc>
      </w:tr>
      <w:tr w:rsidR="00103253" w:rsidRPr="0011597E" w14:paraId="38296379" w14:textId="77777777" w:rsidTr="0011597E">
        <w:trPr>
          <w:jc w:val="center"/>
        </w:trPr>
        <w:tc>
          <w:tcPr>
            <w:tcW w:w="3487" w:type="dxa"/>
          </w:tcPr>
          <w:p w14:paraId="040642AD" w14:textId="74DE29FC" w:rsidR="00103253" w:rsidRPr="0011597E" w:rsidRDefault="00103253" w:rsidP="00103253">
            <w:pPr>
              <w:pStyle w:val="Paragraphedeliste"/>
              <w:tabs>
                <w:tab w:val="left" w:pos="1136"/>
              </w:tabs>
              <w:bidi/>
              <w:spacing w:after="0"/>
              <w:ind w:left="0"/>
              <w:jc w:val="both"/>
              <w:rPr>
                <w:rFonts w:ascii="Arial" w:hAnsi="Arial" w:cs="Arial"/>
                <w:color w:val="000000"/>
                <w:shd w:val="clear" w:color="auto" w:fill="FFFFFF"/>
                <w:rtl/>
              </w:rPr>
            </w:pPr>
            <w:r w:rsidRPr="0011597E">
              <w:rPr>
                <w:rFonts w:ascii="Arial" w:hAnsi="Arial" w:cs="Arial"/>
                <w:color w:val="000000"/>
                <w:shd w:val="clear" w:color="auto" w:fill="FFFFFF"/>
                <w:rtl/>
              </w:rPr>
              <w:t>صنف</w:t>
            </w:r>
            <w:r w:rsidRPr="0011597E">
              <w:rPr>
                <w:rFonts w:ascii="Arial" w:hAnsi="Arial" w:cs="Arial"/>
                <w:color w:val="000000"/>
                <w:shd w:val="clear" w:color="auto" w:fill="FFFFFF"/>
                <w:rtl/>
              </w:rPr>
              <w:t xml:space="preserve"> ج</w:t>
            </w:r>
          </w:p>
        </w:tc>
        <w:tc>
          <w:tcPr>
            <w:tcW w:w="4341" w:type="dxa"/>
            <w:vAlign w:val="center"/>
          </w:tcPr>
          <w:p w14:paraId="7F389141" w14:textId="7A84525D" w:rsidR="00103253" w:rsidRPr="0011597E" w:rsidRDefault="00103253" w:rsidP="00103253">
            <w:pPr>
              <w:pStyle w:val="Paragraphedeliste"/>
              <w:tabs>
                <w:tab w:val="left" w:pos="1136"/>
              </w:tabs>
              <w:bidi/>
              <w:spacing w:after="0"/>
              <w:ind w:left="0"/>
              <w:jc w:val="center"/>
              <w:rPr>
                <w:rFonts w:ascii="Arial" w:hAnsi="Arial" w:cs="Arial"/>
                <w:color w:val="000000"/>
                <w:shd w:val="clear" w:color="auto" w:fill="FFFFFF"/>
                <w:rtl/>
              </w:rPr>
            </w:pPr>
            <w:r w:rsidRPr="0011597E">
              <w:rPr>
                <w:rFonts w:ascii="Arial" w:hAnsi="Arial" w:cs="Arial"/>
                <w:color w:val="000000"/>
                <w:shd w:val="clear" w:color="auto" w:fill="FFFFFF"/>
                <w:rtl/>
              </w:rPr>
              <w:t>30</w:t>
            </w:r>
          </w:p>
        </w:tc>
      </w:tr>
      <w:tr w:rsidR="00103253" w:rsidRPr="0011597E" w14:paraId="4BC24FB4" w14:textId="77777777" w:rsidTr="0011597E">
        <w:trPr>
          <w:jc w:val="center"/>
        </w:trPr>
        <w:tc>
          <w:tcPr>
            <w:tcW w:w="3487" w:type="dxa"/>
          </w:tcPr>
          <w:p w14:paraId="26D9F259" w14:textId="62FD8265" w:rsidR="00103253" w:rsidRPr="0011597E" w:rsidRDefault="00103253" w:rsidP="00103253">
            <w:pPr>
              <w:pStyle w:val="Paragraphedeliste"/>
              <w:tabs>
                <w:tab w:val="left" w:pos="1136"/>
              </w:tabs>
              <w:bidi/>
              <w:spacing w:after="0"/>
              <w:ind w:left="0"/>
              <w:jc w:val="both"/>
              <w:rPr>
                <w:rFonts w:ascii="Arial" w:hAnsi="Arial" w:cs="Arial"/>
                <w:color w:val="000000"/>
                <w:shd w:val="clear" w:color="auto" w:fill="FFFFFF"/>
                <w:rtl/>
              </w:rPr>
            </w:pPr>
            <w:r w:rsidRPr="0011597E">
              <w:rPr>
                <w:rFonts w:ascii="Arial" w:hAnsi="Arial" w:cs="Arial"/>
                <w:color w:val="000000"/>
                <w:shd w:val="clear" w:color="auto" w:fill="FFFFFF"/>
                <w:rtl/>
              </w:rPr>
              <w:t>صنف</w:t>
            </w:r>
            <w:r w:rsidRPr="0011597E">
              <w:rPr>
                <w:rFonts w:ascii="Arial" w:hAnsi="Arial" w:cs="Arial"/>
                <w:color w:val="000000"/>
                <w:shd w:val="clear" w:color="auto" w:fill="FFFFFF"/>
                <w:rtl/>
              </w:rPr>
              <w:t xml:space="preserve"> د</w:t>
            </w:r>
          </w:p>
        </w:tc>
        <w:tc>
          <w:tcPr>
            <w:tcW w:w="4341" w:type="dxa"/>
            <w:vAlign w:val="center"/>
          </w:tcPr>
          <w:p w14:paraId="12330E8F" w14:textId="4158A096" w:rsidR="00103253" w:rsidRPr="0011597E" w:rsidRDefault="00103253" w:rsidP="00103253">
            <w:pPr>
              <w:pStyle w:val="Paragraphedeliste"/>
              <w:tabs>
                <w:tab w:val="left" w:pos="1136"/>
              </w:tabs>
              <w:bidi/>
              <w:spacing w:after="0"/>
              <w:ind w:left="0"/>
              <w:jc w:val="center"/>
              <w:rPr>
                <w:rFonts w:ascii="Arial" w:hAnsi="Arial" w:cs="Arial"/>
                <w:color w:val="000000"/>
                <w:shd w:val="clear" w:color="auto" w:fill="FFFFFF"/>
                <w:rtl/>
              </w:rPr>
            </w:pPr>
            <w:r w:rsidRPr="0011597E">
              <w:rPr>
                <w:rFonts w:ascii="Arial" w:hAnsi="Arial" w:cs="Arial"/>
                <w:color w:val="000000"/>
                <w:shd w:val="clear" w:color="auto" w:fill="FFFFFF"/>
                <w:rtl/>
              </w:rPr>
              <w:t>27</w:t>
            </w:r>
          </w:p>
        </w:tc>
      </w:tr>
    </w:tbl>
    <w:p w14:paraId="7F779F6E" w14:textId="5E23AD13" w:rsidR="00A517AD" w:rsidRPr="0011597E" w:rsidRDefault="00A517AD" w:rsidP="0011597E">
      <w:pPr>
        <w:pStyle w:val="Paragraphedeliste"/>
        <w:numPr>
          <w:ilvl w:val="0"/>
          <w:numId w:val="36"/>
        </w:numPr>
        <w:tabs>
          <w:tab w:val="left" w:pos="1136"/>
        </w:tabs>
        <w:bidi/>
        <w:spacing w:before="100" w:beforeAutospacing="1" w:after="0"/>
        <w:ind w:left="1494"/>
        <w:jc w:val="both"/>
        <w:rPr>
          <w:rFonts w:ascii="Arial" w:hAnsi="Arial" w:cs="Arial"/>
          <w:color w:val="000000"/>
          <w:shd w:val="clear" w:color="auto" w:fill="FFFFFF"/>
        </w:rPr>
      </w:pPr>
      <w:proofErr w:type="gramStart"/>
      <w:r w:rsidRPr="0011597E">
        <w:rPr>
          <w:rFonts w:ascii="Arial" w:hAnsi="Arial" w:cs="Arial"/>
          <w:color w:val="000000"/>
          <w:shd w:val="clear" w:color="auto" w:fill="FFFFFF"/>
          <w:rtl/>
        </w:rPr>
        <w:t>بالنسبة</w:t>
      </w:r>
      <w:proofErr w:type="gramEnd"/>
      <w:r w:rsidRPr="0011597E">
        <w:rPr>
          <w:rFonts w:ascii="Arial" w:hAnsi="Arial" w:cs="Arial"/>
          <w:color w:val="000000"/>
          <w:shd w:val="clear" w:color="auto" w:fill="FFFFFF"/>
          <w:rtl/>
        </w:rPr>
        <w:t xml:space="preserve"> إلى العملـة:</w:t>
      </w:r>
    </w:p>
    <w:tbl>
      <w:tblPr>
        <w:tblStyle w:val="Grilledutableau"/>
        <w:bidiVisual/>
        <w:tblW w:w="0" w:type="auto"/>
        <w:jc w:val="center"/>
        <w:tblInd w:w="2024" w:type="dxa"/>
        <w:tblLook w:val="04A0" w:firstRow="1" w:lastRow="0" w:firstColumn="1" w:lastColumn="0" w:noHBand="0" w:noVBand="1"/>
      </w:tblPr>
      <w:tblGrid>
        <w:gridCol w:w="3487"/>
        <w:gridCol w:w="4341"/>
      </w:tblGrid>
      <w:tr w:rsidR="00A517AD" w:rsidRPr="0011597E" w14:paraId="66DD432D" w14:textId="77777777" w:rsidTr="00226E3F">
        <w:trPr>
          <w:jc w:val="center"/>
        </w:trPr>
        <w:tc>
          <w:tcPr>
            <w:tcW w:w="7828" w:type="dxa"/>
            <w:gridSpan w:val="2"/>
            <w:vAlign w:val="center"/>
          </w:tcPr>
          <w:p w14:paraId="784AC10F" w14:textId="77777777" w:rsidR="00A517AD" w:rsidRPr="00773C37" w:rsidRDefault="00A517AD" w:rsidP="00226E3F">
            <w:pPr>
              <w:pStyle w:val="Paragraphedeliste"/>
              <w:tabs>
                <w:tab w:val="left" w:pos="1136"/>
              </w:tabs>
              <w:bidi/>
              <w:spacing w:after="0"/>
              <w:ind w:left="0"/>
              <w:jc w:val="right"/>
              <w:rPr>
                <w:rFonts w:ascii="Arial" w:hAnsi="Arial" w:cs="Arial"/>
                <w:b/>
                <w:bCs/>
                <w:color w:val="000000"/>
                <w:shd w:val="clear" w:color="auto" w:fill="FFFFFF"/>
                <w:rtl/>
              </w:rPr>
            </w:pPr>
            <w:proofErr w:type="gramStart"/>
            <w:r w:rsidRPr="00773C37">
              <w:rPr>
                <w:rFonts w:ascii="Arial" w:hAnsi="Arial" w:cs="Arial"/>
                <w:b/>
                <w:bCs/>
                <w:color w:val="000000"/>
                <w:shd w:val="clear" w:color="auto" w:fill="FFFFFF"/>
                <w:rtl/>
              </w:rPr>
              <w:t>بحساب</w:t>
            </w:r>
            <w:proofErr w:type="gramEnd"/>
            <w:r w:rsidRPr="00773C37">
              <w:rPr>
                <w:rFonts w:ascii="Arial" w:hAnsi="Arial" w:cs="Arial"/>
                <w:b/>
                <w:bCs/>
                <w:color w:val="000000"/>
                <w:shd w:val="clear" w:color="auto" w:fill="FFFFFF"/>
                <w:rtl/>
              </w:rPr>
              <w:t xml:space="preserve"> الدينار</w:t>
            </w:r>
          </w:p>
        </w:tc>
      </w:tr>
      <w:tr w:rsidR="00A517AD" w:rsidRPr="0011597E" w14:paraId="077367D1" w14:textId="77777777" w:rsidTr="0011597E">
        <w:trPr>
          <w:jc w:val="center"/>
        </w:trPr>
        <w:tc>
          <w:tcPr>
            <w:tcW w:w="3487" w:type="dxa"/>
            <w:vAlign w:val="center"/>
          </w:tcPr>
          <w:p w14:paraId="5166F063" w14:textId="72F4EBB7" w:rsidR="00A517AD" w:rsidRPr="0011597E" w:rsidRDefault="00A517AD" w:rsidP="00226E3F">
            <w:pPr>
              <w:pStyle w:val="Paragraphedeliste"/>
              <w:tabs>
                <w:tab w:val="left" w:pos="1136"/>
              </w:tabs>
              <w:bidi/>
              <w:spacing w:after="0"/>
              <w:ind w:left="0"/>
              <w:jc w:val="center"/>
              <w:rPr>
                <w:rFonts w:ascii="Arial" w:hAnsi="Arial" w:cs="Arial"/>
                <w:b/>
                <w:bCs/>
                <w:color w:val="000000"/>
                <w:shd w:val="clear" w:color="auto" w:fill="FFFFFF"/>
                <w:rtl/>
              </w:rPr>
            </w:pPr>
            <w:r w:rsidRPr="0011597E">
              <w:rPr>
                <w:rFonts w:ascii="Arial" w:hAnsi="Arial" w:cs="Arial"/>
                <w:b/>
                <w:bCs/>
                <w:color w:val="000000"/>
                <w:shd w:val="clear" w:color="auto" w:fill="FFFFFF"/>
                <w:rtl/>
              </w:rPr>
              <w:t>الوحدة</w:t>
            </w:r>
          </w:p>
        </w:tc>
        <w:tc>
          <w:tcPr>
            <w:tcW w:w="4341" w:type="dxa"/>
            <w:vAlign w:val="center"/>
          </w:tcPr>
          <w:p w14:paraId="7520D40A" w14:textId="77777777" w:rsidR="00A517AD" w:rsidRPr="0011597E" w:rsidRDefault="00A517AD" w:rsidP="00226E3F">
            <w:pPr>
              <w:pStyle w:val="Paragraphedeliste"/>
              <w:tabs>
                <w:tab w:val="left" w:pos="1136"/>
              </w:tabs>
              <w:bidi/>
              <w:spacing w:after="0"/>
              <w:ind w:left="0"/>
              <w:jc w:val="center"/>
              <w:rPr>
                <w:rFonts w:ascii="Arial" w:hAnsi="Arial" w:cs="Arial"/>
                <w:b/>
                <w:bCs/>
                <w:color w:val="000000"/>
                <w:shd w:val="clear" w:color="auto" w:fill="FFFFFF"/>
                <w:rtl/>
              </w:rPr>
            </w:pPr>
            <w:r w:rsidRPr="0011597E">
              <w:rPr>
                <w:rFonts w:ascii="Arial" w:hAnsi="Arial" w:cs="Arial"/>
                <w:b/>
                <w:bCs/>
                <w:color w:val="000000"/>
                <w:shd w:val="clear" w:color="auto" w:fill="FFFFFF"/>
                <w:rtl/>
              </w:rPr>
              <w:t>مقدار الزيادة الشهرية ابتداء من غرة جويلية 2011</w:t>
            </w:r>
          </w:p>
        </w:tc>
      </w:tr>
      <w:tr w:rsidR="00A517AD" w:rsidRPr="0011597E" w14:paraId="08993CD7" w14:textId="77777777" w:rsidTr="0011597E">
        <w:trPr>
          <w:jc w:val="center"/>
        </w:trPr>
        <w:tc>
          <w:tcPr>
            <w:tcW w:w="3487" w:type="dxa"/>
          </w:tcPr>
          <w:p w14:paraId="71626ADB" w14:textId="170EFB7D" w:rsidR="00A517AD" w:rsidRPr="0011597E" w:rsidRDefault="00A517AD" w:rsidP="00226E3F">
            <w:pPr>
              <w:pStyle w:val="Paragraphedeliste"/>
              <w:tabs>
                <w:tab w:val="left" w:pos="1136"/>
              </w:tabs>
              <w:bidi/>
              <w:spacing w:after="0"/>
              <w:ind w:left="0"/>
              <w:jc w:val="both"/>
              <w:rPr>
                <w:rFonts w:ascii="Arial" w:hAnsi="Arial" w:cs="Arial"/>
                <w:b/>
                <w:bCs/>
                <w:color w:val="000000"/>
                <w:shd w:val="clear" w:color="auto" w:fill="FFFFFF"/>
                <w:rtl/>
              </w:rPr>
            </w:pPr>
            <w:proofErr w:type="gramStart"/>
            <w:r w:rsidRPr="0011597E">
              <w:rPr>
                <w:rFonts w:ascii="Arial" w:hAnsi="Arial" w:cs="Arial"/>
                <w:color w:val="000000"/>
                <w:shd w:val="clear" w:color="auto" w:fill="FFFFFF"/>
                <w:rtl/>
              </w:rPr>
              <w:t>عملة</w:t>
            </w:r>
            <w:proofErr w:type="gramEnd"/>
            <w:r w:rsidRPr="0011597E">
              <w:rPr>
                <w:rFonts w:ascii="Arial" w:hAnsi="Arial" w:cs="Arial"/>
                <w:color w:val="000000"/>
                <w:shd w:val="clear" w:color="auto" w:fill="FFFFFF"/>
                <w:rtl/>
              </w:rPr>
              <w:t xml:space="preserve"> الوحدة الثالثة</w:t>
            </w:r>
          </w:p>
        </w:tc>
        <w:tc>
          <w:tcPr>
            <w:tcW w:w="4341" w:type="dxa"/>
            <w:vAlign w:val="center"/>
          </w:tcPr>
          <w:p w14:paraId="67AA3AA8" w14:textId="57DAEFCC" w:rsidR="00A517AD" w:rsidRPr="0011597E" w:rsidRDefault="00A517AD" w:rsidP="00226E3F">
            <w:pPr>
              <w:pStyle w:val="Paragraphedeliste"/>
              <w:tabs>
                <w:tab w:val="left" w:pos="1136"/>
              </w:tabs>
              <w:bidi/>
              <w:spacing w:after="0"/>
              <w:ind w:left="0"/>
              <w:jc w:val="center"/>
              <w:rPr>
                <w:rFonts w:ascii="Arial" w:hAnsi="Arial" w:cs="Arial"/>
                <w:color w:val="000000"/>
                <w:shd w:val="clear" w:color="auto" w:fill="FFFFFF"/>
                <w:rtl/>
              </w:rPr>
            </w:pPr>
            <w:r w:rsidRPr="0011597E">
              <w:rPr>
                <w:rFonts w:ascii="Arial" w:hAnsi="Arial" w:cs="Arial"/>
                <w:color w:val="000000"/>
                <w:shd w:val="clear" w:color="auto" w:fill="FFFFFF"/>
                <w:rtl/>
              </w:rPr>
              <w:t>35</w:t>
            </w:r>
          </w:p>
        </w:tc>
      </w:tr>
      <w:tr w:rsidR="00A517AD" w:rsidRPr="0011597E" w14:paraId="3F7C515C" w14:textId="77777777" w:rsidTr="0011597E">
        <w:trPr>
          <w:jc w:val="center"/>
        </w:trPr>
        <w:tc>
          <w:tcPr>
            <w:tcW w:w="3487" w:type="dxa"/>
          </w:tcPr>
          <w:p w14:paraId="79BFB69B" w14:textId="76AF65CF" w:rsidR="00A517AD" w:rsidRPr="0011597E" w:rsidRDefault="00A517AD" w:rsidP="00226E3F">
            <w:pPr>
              <w:pStyle w:val="Paragraphedeliste"/>
              <w:tabs>
                <w:tab w:val="left" w:pos="1136"/>
              </w:tabs>
              <w:bidi/>
              <w:spacing w:after="0"/>
              <w:ind w:left="0"/>
              <w:jc w:val="both"/>
              <w:rPr>
                <w:rFonts w:ascii="Arial" w:hAnsi="Arial" w:cs="Arial"/>
                <w:color w:val="000000"/>
                <w:shd w:val="clear" w:color="auto" w:fill="FFFFFF"/>
                <w:rtl/>
              </w:rPr>
            </w:pPr>
            <w:proofErr w:type="gramStart"/>
            <w:r w:rsidRPr="0011597E">
              <w:rPr>
                <w:rFonts w:ascii="Arial" w:hAnsi="Arial" w:cs="Arial"/>
                <w:color w:val="000000"/>
                <w:shd w:val="clear" w:color="auto" w:fill="FFFFFF"/>
                <w:rtl/>
              </w:rPr>
              <w:t>عملة</w:t>
            </w:r>
            <w:proofErr w:type="gramEnd"/>
            <w:r w:rsidRPr="0011597E">
              <w:rPr>
                <w:rFonts w:ascii="Arial" w:hAnsi="Arial" w:cs="Arial"/>
                <w:color w:val="000000"/>
                <w:shd w:val="clear" w:color="auto" w:fill="FFFFFF"/>
                <w:rtl/>
              </w:rPr>
              <w:t xml:space="preserve"> الوحدة الثانية</w:t>
            </w:r>
          </w:p>
        </w:tc>
        <w:tc>
          <w:tcPr>
            <w:tcW w:w="4341" w:type="dxa"/>
            <w:vAlign w:val="center"/>
          </w:tcPr>
          <w:p w14:paraId="4ACD427B" w14:textId="246A1ADB" w:rsidR="00A517AD" w:rsidRPr="0011597E" w:rsidRDefault="00A517AD" w:rsidP="00226E3F">
            <w:pPr>
              <w:pStyle w:val="Paragraphedeliste"/>
              <w:tabs>
                <w:tab w:val="left" w:pos="1136"/>
              </w:tabs>
              <w:bidi/>
              <w:spacing w:after="0"/>
              <w:ind w:left="0"/>
              <w:jc w:val="center"/>
              <w:rPr>
                <w:rFonts w:ascii="Arial" w:hAnsi="Arial" w:cs="Arial"/>
                <w:color w:val="000000"/>
                <w:shd w:val="clear" w:color="auto" w:fill="FFFFFF"/>
                <w:rtl/>
              </w:rPr>
            </w:pPr>
            <w:r w:rsidRPr="0011597E">
              <w:rPr>
                <w:rFonts w:ascii="Arial" w:hAnsi="Arial" w:cs="Arial"/>
                <w:color w:val="000000"/>
                <w:shd w:val="clear" w:color="auto" w:fill="FFFFFF"/>
                <w:rtl/>
              </w:rPr>
              <w:t>30</w:t>
            </w:r>
          </w:p>
        </w:tc>
      </w:tr>
      <w:tr w:rsidR="00A517AD" w:rsidRPr="0011597E" w14:paraId="510B405D" w14:textId="77777777" w:rsidTr="0011597E">
        <w:trPr>
          <w:jc w:val="center"/>
        </w:trPr>
        <w:tc>
          <w:tcPr>
            <w:tcW w:w="3487" w:type="dxa"/>
          </w:tcPr>
          <w:p w14:paraId="1F4A06BF" w14:textId="1CB57A45" w:rsidR="00A517AD" w:rsidRPr="0011597E" w:rsidRDefault="00A517AD" w:rsidP="00226E3F">
            <w:pPr>
              <w:pStyle w:val="Paragraphedeliste"/>
              <w:tabs>
                <w:tab w:val="left" w:pos="1136"/>
              </w:tabs>
              <w:bidi/>
              <w:spacing w:after="0"/>
              <w:ind w:left="0"/>
              <w:jc w:val="both"/>
              <w:rPr>
                <w:rFonts w:ascii="Arial" w:hAnsi="Arial" w:cs="Arial"/>
                <w:color w:val="000000"/>
                <w:shd w:val="clear" w:color="auto" w:fill="FFFFFF"/>
                <w:rtl/>
              </w:rPr>
            </w:pPr>
            <w:r w:rsidRPr="0011597E">
              <w:rPr>
                <w:rFonts w:ascii="Arial" w:hAnsi="Arial" w:cs="Arial"/>
                <w:color w:val="000000"/>
                <w:shd w:val="clear" w:color="auto" w:fill="FFFFFF"/>
                <w:rtl/>
              </w:rPr>
              <w:t>عملة الوحدة الاولى</w:t>
            </w:r>
          </w:p>
        </w:tc>
        <w:tc>
          <w:tcPr>
            <w:tcW w:w="4341" w:type="dxa"/>
            <w:vAlign w:val="center"/>
          </w:tcPr>
          <w:p w14:paraId="75F19C6F" w14:textId="739375D6" w:rsidR="00A517AD" w:rsidRPr="0011597E" w:rsidRDefault="00A517AD" w:rsidP="00226E3F">
            <w:pPr>
              <w:pStyle w:val="Paragraphedeliste"/>
              <w:tabs>
                <w:tab w:val="left" w:pos="1136"/>
              </w:tabs>
              <w:bidi/>
              <w:spacing w:after="0"/>
              <w:ind w:left="0"/>
              <w:jc w:val="center"/>
              <w:rPr>
                <w:rFonts w:ascii="Arial" w:hAnsi="Arial" w:cs="Arial"/>
                <w:color w:val="000000"/>
                <w:shd w:val="clear" w:color="auto" w:fill="FFFFFF"/>
                <w:rtl/>
              </w:rPr>
            </w:pPr>
            <w:r w:rsidRPr="0011597E">
              <w:rPr>
                <w:rFonts w:ascii="Arial" w:hAnsi="Arial" w:cs="Arial"/>
                <w:color w:val="000000"/>
                <w:shd w:val="clear" w:color="auto" w:fill="FFFFFF"/>
                <w:rtl/>
              </w:rPr>
              <w:t>27</w:t>
            </w:r>
          </w:p>
        </w:tc>
      </w:tr>
    </w:tbl>
    <w:p w14:paraId="5A05B83F" w14:textId="5F054AA6" w:rsidR="0011597E" w:rsidRPr="0011597E" w:rsidRDefault="0011597E" w:rsidP="0011597E">
      <w:pPr>
        <w:tabs>
          <w:tab w:val="left" w:pos="1136"/>
        </w:tabs>
        <w:bidi/>
        <w:spacing w:before="100" w:beforeAutospacing="1" w:after="0"/>
        <w:ind w:left="283"/>
        <w:jc w:val="both"/>
        <w:rPr>
          <w:rFonts w:ascii="Arial" w:hAnsi="Arial" w:cs="Arial"/>
          <w:color w:val="000000"/>
          <w:rtl/>
        </w:rPr>
      </w:pPr>
      <w:r>
        <w:rPr>
          <w:rFonts w:ascii="Arial" w:hAnsi="Arial" w:cs="Arial"/>
          <w:b/>
          <w:bCs/>
          <w:color w:val="000000"/>
          <w:shd w:val="clear" w:color="auto" w:fill="FFFFFF"/>
          <w:rtl/>
        </w:rPr>
        <w:t>الفصـ</w:t>
      </w:r>
      <w:r w:rsidR="00A517AD" w:rsidRPr="0011597E">
        <w:rPr>
          <w:rFonts w:ascii="Arial" w:hAnsi="Arial" w:cs="Arial"/>
          <w:b/>
          <w:bCs/>
          <w:color w:val="000000"/>
          <w:shd w:val="clear" w:color="auto" w:fill="FFFFFF"/>
          <w:rtl/>
        </w:rPr>
        <w:t xml:space="preserve">ل 2 – </w:t>
      </w:r>
      <w:r w:rsidR="001868B8" w:rsidRPr="0011597E">
        <w:rPr>
          <w:rFonts w:ascii="Arial" w:hAnsi="Arial" w:cs="Arial"/>
          <w:color w:val="000000"/>
          <w:shd w:val="clear" w:color="auto" w:fill="FFFFFF"/>
          <w:rtl/>
        </w:rPr>
        <w:t>لا تنسحب أحكام هذا الأمر على الأعوان العسكريين المنصوص عليهم بالفقرة الثانية من الفصل الأول من الأمر عدد 1291 لسنة 1990 المؤرخ في 27 أوت 1990 المشار إليه أعلاه</w:t>
      </w:r>
      <w:r w:rsidR="001868B8" w:rsidRPr="0011597E">
        <w:rPr>
          <w:rFonts w:ascii="Arial" w:hAnsi="Arial" w:cs="Arial"/>
          <w:color w:val="000000"/>
          <w:shd w:val="clear" w:color="auto" w:fill="FFFFFF"/>
        </w:rPr>
        <w:t>.</w:t>
      </w:r>
    </w:p>
    <w:p w14:paraId="0303B208" w14:textId="690DB82A" w:rsidR="0011597E" w:rsidRPr="0011597E" w:rsidRDefault="001868B8" w:rsidP="0011597E">
      <w:pPr>
        <w:tabs>
          <w:tab w:val="left" w:pos="1136"/>
        </w:tabs>
        <w:bidi/>
        <w:spacing w:before="100" w:beforeAutospacing="1" w:after="0"/>
        <w:ind w:left="283"/>
        <w:jc w:val="both"/>
        <w:rPr>
          <w:rFonts w:ascii="Arial" w:hAnsi="Arial" w:cs="Arial"/>
          <w:color w:val="000000"/>
          <w:shd w:val="clear" w:color="auto" w:fill="FFFFFF"/>
          <w:rtl/>
        </w:rPr>
      </w:pPr>
      <w:r w:rsidRPr="0011597E">
        <w:rPr>
          <w:rFonts w:ascii="Arial" w:hAnsi="Arial" w:cs="Arial"/>
          <w:b/>
          <w:bCs/>
          <w:color w:val="000000"/>
          <w:shd w:val="clear" w:color="auto" w:fill="FFFFFF"/>
          <w:rtl/>
        </w:rPr>
        <w:t>الفصـ</w:t>
      </w:r>
      <w:r w:rsidR="0011597E" w:rsidRPr="0011597E">
        <w:rPr>
          <w:rFonts w:ascii="Arial" w:hAnsi="Arial" w:cs="Arial"/>
          <w:b/>
          <w:bCs/>
          <w:color w:val="000000"/>
          <w:shd w:val="clear" w:color="auto" w:fill="FFFFFF"/>
          <w:rtl/>
        </w:rPr>
        <w:t>ل 3 –</w:t>
      </w:r>
      <w:r w:rsidR="0011597E" w:rsidRPr="0011597E">
        <w:rPr>
          <w:rFonts w:ascii="Arial" w:hAnsi="Arial" w:cs="Arial"/>
          <w:color w:val="000000"/>
          <w:shd w:val="clear" w:color="auto" w:fill="FFFFFF"/>
          <w:rtl/>
        </w:rPr>
        <w:t xml:space="preserve"> </w:t>
      </w:r>
      <w:r w:rsidRPr="0011597E">
        <w:rPr>
          <w:rFonts w:ascii="Arial" w:hAnsi="Arial" w:cs="Arial"/>
          <w:color w:val="000000"/>
          <w:shd w:val="clear" w:color="auto" w:fill="FFFFFF"/>
          <w:rtl/>
        </w:rPr>
        <w:t>لا يمكن الجمع بين الزيادة المشار إليها أعلاه وأية زيادة أخرى مماثلة تغطي نفس الأعباء</w:t>
      </w:r>
      <w:r w:rsidRPr="0011597E">
        <w:rPr>
          <w:rFonts w:ascii="Arial" w:hAnsi="Arial" w:cs="Arial"/>
          <w:color w:val="000000"/>
          <w:shd w:val="clear" w:color="auto" w:fill="FFFFFF"/>
        </w:rPr>
        <w:t>.</w:t>
      </w:r>
    </w:p>
    <w:p w14:paraId="4D66B48F" w14:textId="456A5C28" w:rsidR="0011597E" w:rsidRPr="0011597E" w:rsidRDefault="0011597E" w:rsidP="0011597E">
      <w:pPr>
        <w:tabs>
          <w:tab w:val="left" w:pos="1136"/>
        </w:tabs>
        <w:bidi/>
        <w:spacing w:before="100" w:beforeAutospacing="1" w:after="0"/>
        <w:ind w:left="283"/>
        <w:jc w:val="both"/>
        <w:rPr>
          <w:rFonts w:ascii="Arial" w:hAnsi="Arial" w:cs="Arial"/>
          <w:color w:val="000000"/>
          <w:shd w:val="clear" w:color="auto" w:fill="FFFFFF"/>
          <w:rtl/>
        </w:rPr>
      </w:pPr>
      <w:proofErr w:type="gramStart"/>
      <w:r>
        <w:rPr>
          <w:rFonts w:ascii="Arial" w:hAnsi="Arial" w:cs="Arial"/>
          <w:b/>
          <w:bCs/>
          <w:color w:val="000000"/>
          <w:shd w:val="clear" w:color="auto" w:fill="FFFFFF"/>
          <w:rtl/>
        </w:rPr>
        <w:t>الفص</w:t>
      </w:r>
      <w:r w:rsidRPr="0011597E">
        <w:rPr>
          <w:rFonts w:ascii="Arial" w:hAnsi="Arial" w:cs="Arial"/>
          <w:b/>
          <w:bCs/>
          <w:color w:val="000000"/>
          <w:shd w:val="clear" w:color="auto" w:fill="FFFFFF"/>
          <w:rtl/>
        </w:rPr>
        <w:t>ل</w:t>
      </w:r>
      <w:proofErr w:type="gramEnd"/>
      <w:r w:rsidRPr="0011597E">
        <w:rPr>
          <w:rFonts w:ascii="Arial" w:hAnsi="Arial" w:cs="Arial"/>
          <w:b/>
          <w:bCs/>
          <w:color w:val="000000"/>
          <w:shd w:val="clear" w:color="auto" w:fill="FFFFFF"/>
          <w:rtl/>
        </w:rPr>
        <w:t xml:space="preserve"> 4 –</w:t>
      </w:r>
      <w:r w:rsidRPr="0011597E">
        <w:rPr>
          <w:rFonts w:ascii="Arial" w:hAnsi="Arial" w:cs="Arial"/>
          <w:color w:val="000000"/>
          <w:shd w:val="clear" w:color="auto" w:fill="FFFFFF"/>
          <w:rtl/>
        </w:rPr>
        <w:t xml:space="preserve"> </w:t>
      </w:r>
      <w:r w:rsidR="001868B8" w:rsidRPr="0011597E">
        <w:rPr>
          <w:rFonts w:ascii="Arial" w:hAnsi="Arial" w:cs="Arial"/>
          <w:color w:val="000000"/>
          <w:shd w:val="clear" w:color="auto" w:fill="FFFFFF"/>
          <w:rtl/>
        </w:rPr>
        <w:t>الوزير الأول والوزراء وكتاب الدولة مكلفون، كل فيما يخصه، بتنفيذ هذا الأمر الذي ينشر بالرائد الرسمي للجمهورية التونسية</w:t>
      </w:r>
      <w:r w:rsidR="001868B8" w:rsidRPr="0011597E">
        <w:rPr>
          <w:rFonts w:ascii="Arial" w:hAnsi="Arial" w:cs="Arial"/>
          <w:color w:val="000000"/>
          <w:shd w:val="clear" w:color="auto" w:fill="FFFFFF"/>
        </w:rPr>
        <w:t>.</w:t>
      </w:r>
    </w:p>
    <w:p w14:paraId="71E6F4F2" w14:textId="7829A09F" w:rsidR="00E953A2" w:rsidRPr="0011597E" w:rsidRDefault="001868B8" w:rsidP="0011597E">
      <w:pPr>
        <w:tabs>
          <w:tab w:val="left" w:pos="1136"/>
        </w:tabs>
        <w:bidi/>
        <w:spacing w:before="100" w:beforeAutospacing="1" w:after="0"/>
        <w:ind w:left="283"/>
        <w:jc w:val="both"/>
        <w:rPr>
          <w:rFonts w:ascii="Arial" w:hAnsi="Arial" w:cs="Arial"/>
          <w:b/>
          <w:bCs/>
          <w:color w:val="000000"/>
          <w:shd w:val="clear" w:color="auto" w:fill="FFFFFF"/>
        </w:rPr>
      </w:pPr>
      <w:r w:rsidRPr="0011597E">
        <w:rPr>
          <w:rFonts w:ascii="Arial" w:hAnsi="Arial" w:cs="Arial"/>
          <w:b/>
          <w:bCs/>
          <w:color w:val="000000"/>
          <w:shd w:val="clear" w:color="auto" w:fill="FFFFFF"/>
          <w:rtl/>
        </w:rPr>
        <w:t>تونـس فـي 21 سبتمبر 2011</w:t>
      </w:r>
      <w:r w:rsidRPr="0011597E">
        <w:rPr>
          <w:rFonts w:ascii="Arial" w:hAnsi="Arial" w:cs="Arial"/>
          <w:b/>
          <w:bCs/>
          <w:color w:val="000000"/>
          <w:shd w:val="clear" w:color="auto" w:fill="FFFFFF"/>
        </w:rPr>
        <w:t>.</w:t>
      </w:r>
    </w:p>
    <w:sectPr w:rsidR="00E953A2" w:rsidRPr="0011597E"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DD6B6" w14:textId="77777777" w:rsidR="00EE7207" w:rsidRDefault="00EE7207" w:rsidP="008F3F2D">
      <w:r>
        <w:separator/>
      </w:r>
    </w:p>
  </w:endnote>
  <w:endnote w:type="continuationSeparator" w:id="0">
    <w:p w14:paraId="0A79B6B9" w14:textId="77777777" w:rsidR="00EE7207" w:rsidRDefault="00EE720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EE7207" w:rsidRPr="00C64B86" w:rsidRDefault="00EE720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E7207" w:rsidRPr="00A00644" w:rsidRDefault="00EE720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73C3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73C37">
                            <w:rPr>
                              <w:rFonts w:ascii="Arial" w:hAnsi="Arial" w:cs="Arial"/>
                              <w:noProof/>
                              <w:sz w:val="18"/>
                              <w:szCs w:val="18"/>
                            </w:rPr>
                            <w:t>2</w:t>
                          </w:r>
                          <w:r w:rsidRPr="001E5DD5">
                            <w:rPr>
                              <w:rFonts w:ascii="Arial" w:hAnsi="Arial" w:cs="Arial"/>
                              <w:noProof/>
                              <w:sz w:val="18"/>
                              <w:szCs w:val="18"/>
                            </w:rPr>
                            <w:fldChar w:fldCharType="end"/>
                          </w:r>
                        </w:p>
                        <w:p w14:paraId="75F5800F" w14:textId="77777777" w:rsidR="00EE7207" w:rsidRDefault="00EE720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E7207" w:rsidRPr="00A00644" w:rsidRDefault="00EE720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73C3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73C37">
                      <w:rPr>
                        <w:rFonts w:ascii="Arial" w:hAnsi="Arial" w:cs="Arial"/>
                        <w:noProof/>
                        <w:sz w:val="18"/>
                        <w:szCs w:val="18"/>
                      </w:rPr>
                      <w:t>2</w:t>
                    </w:r>
                    <w:r w:rsidRPr="001E5DD5">
                      <w:rPr>
                        <w:rFonts w:ascii="Arial" w:hAnsi="Arial" w:cs="Arial"/>
                        <w:noProof/>
                        <w:sz w:val="18"/>
                        <w:szCs w:val="18"/>
                      </w:rPr>
                      <w:fldChar w:fldCharType="end"/>
                    </w:r>
                  </w:p>
                  <w:p w14:paraId="75F5800F" w14:textId="77777777" w:rsidR="00EE7207" w:rsidRDefault="00EE7207"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EE7207" w:rsidRDefault="00EE720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E7207" w:rsidRPr="00A00644" w:rsidRDefault="00EE720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73C3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73C37">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E7207" w:rsidRPr="00A00644" w:rsidRDefault="00EE720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73C3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73C37">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EEDBA" w14:textId="77777777" w:rsidR="00EE7207" w:rsidRDefault="00EE7207" w:rsidP="008F3F2D">
      <w:r>
        <w:separator/>
      </w:r>
    </w:p>
  </w:footnote>
  <w:footnote w:type="continuationSeparator" w:id="0">
    <w:p w14:paraId="5EAD47B9" w14:textId="77777777" w:rsidR="00EE7207" w:rsidRDefault="00EE7207"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5DEFAE3B" w:rsidR="00EE7207" w:rsidRDefault="00EE7207">
    <w:pPr>
      <w:pStyle w:val="En-tte"/>
    </w:pPr>
    <w:r>
      <w:rPr>
        <w:noProof/>
      </w:rPr>
      <mc:AlternateContent>
        <mc:Choice Requires="wps">
          <w:drawing>
            <wp:anchor distT="0" distB="0" distL="114300" distR="114300" simplePos="0" relativeHeight="251661312" behindDoc="0" locked="0" layoutInCell="1" allowOverlap="1" wp14:anchorId="3D2DE5EC" wp14:editId="7325E364">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E7207" w:rsidRDefault="00EE7207" w:rsidP="0097472C">
                          <w:pPr>
                            <w:spacing w:after="0" w:line="240" w:lineRule="auto"/>
                            <w:ind w:left="567"/>
                            <w:rPr>
                              <w:rFonts w:ascii="Arial" w:eastAsia="Times New Roman" w:hAnsi="Arial" w:cs="Times New Roman"/>
                              <w:sz w:val="24"/>
                              <w:szCs w:val="24"/>
                            </w:rPr>
                          </w:pPr>
                        </w:p>
                        <w:p w14:paraId="62BF567A" w14:textId="77777777" w:rsidR="00EE7207" w:rsidRPr="005F7BF4" w:rsidRDefault="00EE720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E7207" w:rsidRPr="005F7BF4" w:rsidRDefault="00EE720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EE7207" w:rsidRDefault="00EE7207" w:rsidP="0097472C">
                    <w:pPr>
                      <w:spacing w:after="0" w:line="240" w:lineRule="auto"/>
                      <w:ind w:left="567"/>
                      <w:rPr>
                        <w:rFonts w:ascii="Arial" w:eastAsia="Times New Roman" w:hAnsi="Arial" w:cs="Times New Roman"/>
                        <w:sz w:val="24"/>
                        <w:szCs w:val="24"/>
                      </w:rPr>
                    </w:pPr>
                  </w:p>
                  <w:p w14:paraId="62BF567A" w14:textId="77777777" w:rsidR="00EE7207" w:rsidRPr="005F7BF4" w:rsidRDefault="00EE720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EE7207" w:rsidRPr="005F7BF4" w:rsidRDefault="00EE720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r>
      <w:rPr>
        <w:noProof/>
      </w:rPr>
      <w:drawing>
        <wp:anchor distT="0" distB="0" distL="114300" distR="114300" simplePos="0" relativeHeight="251672576" behindDoc="0" locked="0" layoutInCell="1" allowOverlap="1" wp14:anchorId="78A652E8" wp14:editId="4EFBE9D2">
          <wp:simplePos x="0" y="0"/>
          <wp:positionH relativeFrom="column">
            <wp:posOffset>-642620</wp:posOffset>
          </wp:positionH>
          <wp:positionV relativeFrom="paragraph">
            <wp:posOffset>-571500</wp:posOffset>
          </wp:positionV>
          <wp:extent cx="928619"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3CF7381" w:rsidR="00EE7207" w:rsidRDefault="00EE7207">
    <w:pPr>
      <w:pStyle w:val="En-tte"/>
    </w:pPr>
    <w:r>
      <w:rPr>
        <w:noProof/>
      </w:rPr>
      <mc:AlternateContent>
        <mc:Choice Requires="wps">
          <w:drawing>
            <wp:anchor distT="0" distB="0" distL="114300" distR="114300" simplePos="0" relativeHeight="251659264" behindDoc="0" locked="0" layoutInCell="1" allowOverlap="1" wp14:anchorId="7FDF51B2" wp14:editId="07340710">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E7207" w:rsidRDefault="00EE7207" w:rsidP="0075404E">
                          <w:pPr>
                            <w:spacing w:after="0" w:line="20" w:lineRule="atLeast"/>
                            <w:ind w:left="567"/>
                            <w:rPr>
                              <w:rFonts w:ascii="Arial" w:eastAsia="Times New Roman" w:hAnsi="Arial" w:cs="Arial"/>
                              <w:sz w:val="24"/>
                              <w:szCs w:val="20"/>
                              <w:lang w:eastAsia="en-US"/>
                            </w:rPr>
                          </w:pPr>
                        </w:p>
                        <w:p w14:paraId="769732F9" w14:textId="77777777" w:rsidR="00EE7207" w:rsidRPr="00696C4B" w:rsidRDefault="00EE7207"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EE7207" w:rsidRPr="00317C84" w:rsidRDefault="00EE720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E7207" w:rsidRDefault="00EE720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EE7207" w:rsidRDefault="00EE7207" w:rsidP="0075404E">
                    <w:pPr>
                      <w:spacing w:after="0" w:line="20" w:lineRule="atLeast"/>
                      <w:ind w:left="567"/>
                      <w:rPr>
                        <w:rFonts w:ascii="Arial" w:eastAsia="Times New Roman" w:hAnsi="Arial" w:cs="Arial"/>
                        <w:sz w:val="24"/>
                        <w:szCs w:val="20"/>
                        <w:lang w:eastAsia="en-US"/>
                      </w:rPr>
                    </w:pPr>
                  </w:p>
                  <w:p w14:paraId="769732F9" w14:textId="77777777" w:rsidR="00EE7207" w:rsidRPr="00696C4B" w:rsidRDefault="00EE7207"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EE7207" w:rsidRPr="00317C84" w:rsidRDefault="00EE720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E7207" w:rsidRDefault="00EE7207" w:rsidP="0075404E">
                    <w:pPr>
                      <w:jc w:val="center"/>
                    </w:pPr>
                  </w:p>
                </w:txbxContent>
              </v:textbox>
            </v:rect>
          </w:pict>
        </mc:Fallback>
      </mc:AlternateContent>
    </w:r>
    <w:r>
      <w:rPr>
        <w:noProof/>
      </w:rPr>
      <w:drawing>
        <wp:anchor distT="0" distB="0" distL="114300" distR="114300" simplePos="0" relativeHeight="251670528" behindDoc="0" locked="0" layoutInCell="1" allowOverlap="1" wp14:anchorId="576B68AA" wp14:editId="788F1000">
          <wp:simplePos x="0" y="0"/>
          <wp:positionH relativeFrom="column">
            <wp:posOffset>-761365</wp:posOffset>
          </wp:positionH>
          <wp:positionV relativeFrom="paragraph">
            <wp:posOffset>-554277</wp:posOffset>
          </wp:positionV>
          <wp:extent cx="928619"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8C4"/>
    <w:multiLevelType w:val="hybridMultilevel"/>
    <w:tmpl w:val="9F2274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944C01"/>
    <w:multiLevelType w:val="hybridMultilevel"/>
    <w:tmpl w:val="E8A6E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0255AC"/>
    <w:multiLevelType w:val="hybridMultilevel"/>
    <w:tmpl w:val="F9C0E5A8"/>
    <w:lvl w:ilvl="0" w:tplc="040C0011">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DB0A90"/>
    <w:multiLevelType w:val="hybridMultilevel"/>
    <w:tmpl w:val="0108EC56"/>
    <w:lvl w:ilvl="0" w:tplc="2F4A7B54">
      <w:start w:val="1"/>
      <w:numFmt w:val="decimal"/>
      <w:lvlText w:val="%1)"/>
      <w:lvlJc w:val="left"/>
      <w:pPr>
        <w:ind w:left="720" w:hanging="360"/>
      </w:pPr>
      <w:rPr>
        <w:rFonts w:hint="default"/>
        <w:lang w:bidi="ar-T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276FAF"/>
    <w:multiLevelType w:val="hybridMultilevel"/>
    <w:tmpl w:val="7A28B41E"/>
    <w:lvl w:ilvl="0" w:tplc="27A422C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3E736B"/>
    <w:multiLevelType w:val="hybridMultilevel"/>
    <w:tmpl w:val="4C968674"/>
    <w:lvl w:ilvl="0" w:tplc="786421C2">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CA45F7"/>
    <w:multiLevelType w:val="hybridMultilevel"/>
    <w:tmpl w:val="69D698DC"/>
    <w:lvl w:ilvl="0" w:tplc="93EC604E">
      <w:start w:val="1"/>
      <w:numFmt w:val="arabicAlpha"/>
      <w:lvlText w:val="%1)"/>
      <w:lvlJc w:val="left"/>
      <w:pPr>
        <w:ind w:left="720" w:hanging="360"/>
      </w:pPr>
      <w:rPr>
        <w:rFonts w:hint="default"/>
        <w:lang w:bidi="ar-T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FC3175"/>
    <w:multiLevelType w:val="hybridMultilevel"/>
    <w:tmpl w:val="5754B1C8"/>
    <w:lvl w:ilvl="0" w:tplc="3724EC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7BE58C2"/>
    <w:multiLevelType w:val="hybridMultilevel"/>
    <w:tmpl w:val="FBB4B1E8"/>
    <w:lvl w:ilvl="0" w:tplc="21A8A6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5E1BB7"/>
    <w:multiLevelType w:val="hybridMultilevel"/>
    <w:tmpl w:val="37A8717C"/>
    <w:lvl w:ilvl="0" w:tplc="94A89AF6">
      <w:start w:val="1"/>
      <w:numFmt w:val="decimal"/>
      <w:lvlText w:val="%1)"/>
      <w:lvlJc w:val="left"/>
      <w:pPr>
        <w:ind w:left="1854" w:hanging="360"/>
      </w:pPr>
      <w:rPr>
        <w:rFonts w:hint="default"/>
        <w:b/>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nsid w:val="31EF59F1"/>
    <w:multiLevelType w:val="hybridMultilevel"/>
    <w:tmpl w:val="92D2E81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9E001C"/>
    <w:multiLevelType w:val="hybridMultilevel"/>
    <w:tmpl w:val="5EF67A62"/>
    <w:lvl w:ilvl="0" w:tplc="67386CAC">
      <w:start w:val="1"/>
      <w:numFmt w:val="arabicAbjad"/>
      <w:lvlText w:val="%1)"/>
      <w:lvlJc w:val="left"/>
      <w:pPr>
        <w:ind w:left="644" w:hanging="360"/>
      </w:pPr>
      <w:rPr>
        <w:rFonts w:hint="default"/>
        <w:lang w:bidi="ar-T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7D828AF"/>
    <w:multiLevelType w:val="hybridMultilevel"/>
    <w:tmpl w:val="2F4828A4"/>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823DFC"/>
    <w:multiLevelType w:val="hybridMultilevel"/>
    <w:tmpl w:val="FC7EF47C"/>
    <w:lvl w:ilvl="0" w:tplc="29D2B65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FC5359A"/>
    <w:multiLevelType w:val="hybridMultilevel"/>
    <w:tmpl w:val="417A4294"/>
    <w:lvl w:ilvl="0" w:tplc="4EE28EF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95048F"/>
    <w:multiLevelType w:val="hybridMultilevel"/>
    <w:tmpl w:val="2D8A785C"/>
    <w:lvl w:ilvl="0" w:tplc="498E3E7A">
      <w:start w:val="1"/>
      <w:numFmt w:val="arabicAlpha"/>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6566EBF"/>
    <w:multiLevelType w:val="hybridMultilevel"/>
    <w:tmpl w:val="25442D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9874A49"/>
    <w:multiLevelType w:val="hybridMultilevel"/>
    <w:tmpl w:val="2A72DA44"/>
    <w:lvl w:ilvl="0" w:tplc="111844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BD3661F"/>
    <w:multiLevelType w:val="hybridMultilevel"/>
    <w:tmpl w:val="8FAA0DC4"/>
    <w:lvl w:ilvl="0" w:tplc="1200E4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1DF69EB"/>
    <w:multiLevelType w:val="hybridMultilevel"/>
    <w:tmpl w:val="2F72A62C"/>
    <w:lvl w:ilvl="0" w:tplc="408EE8C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212067B"/>
    <w:multiLevelType w:val="hybridMultilevel"/>
    <w:tmpl w:val="A51CCB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A5C0E7C"/>
    <w:multiLevelType w:val="hybridMultilevel"/>
    <w:tmpl w:val="8A14BD46"/>
    <w:lvl w:ilvl="0" w:tplc="67386CA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BEE4B4C"/>
    <w:multiLevelType w:val="hybridMultilevel"/>
    <w:tmpl w:val="C1D807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BFE2B0E"/>
    <w:multiLevelType w:val="hybridMultilevel"/>
    <w:tmpl w:val="EDD8FB4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FD446E"/>
    <w:multiLevelType w:val="hybridMultilevel"/>
    <w:tmpl w:val="C20A913E"/>
    <w:lvl w:ilvl="0" w:tplc="408EE8C2">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9">
    <w:nsid w:val="6E0D29D4"/>
    <w:multiLevelType w:val="hybridMultilevel"/>
    <w:tmpl w:val="CD387FA2"/>
    <w:lvl w:ilvl="0" w:tplc="56DA67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6AA25FE"/>
    <w:multiLevelType w:val="hybridMultilevel"/>
    <w:tmpl w:val="945C29D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E45312"/>
    <w:multiLevelType w:val="hybridMultilevel"/>
    <w:tmpl w:val="C0EEF46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BE021CB"/>
    <w:multiLevelType w:val="hybridMultilevel"/>
    <w:tmpl w:val="9AF655D6"/>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E4907F7"/>
    <w:multiLevelType w:val="hybridMultilevel"/>
    <w:tmpl w:val="745EC394"/>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EC77D2F"/>
    <w:multiLevelType w:val="hybridMultilevel"/>
    <w:tmpl w:val="E46A3C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0"/>
  </w:num>
  <w:num w:numId="4">
    <w:abstractNumId w:val="11"/>
  </w:num>
  <w:num w:numId="5">
    <w:abstractNumId w:val="24"/>
  </w:num>
  <w:num w:numId="6">
    <w:abstractNumId w:val="33"/>
  </w:num>
  <w:num w:numId="7">
    <w:abstractNumId w:val="8"/>
  </w:num>
  <w:num w:numId="8">
    <w:abstractNumId w:val="5"/>
  </w:num>
  <w:num w:numId="9">
    <w:abstractNumId w:val="31"/>
  </w:num>
  <w:num w:numId="10">
    <w:abstractNumId w:val="32"/>
  </w:num>
  <w:num w:numId="11">
    <w:abstractNumId w:val="23"/>
  </w:num>
  <w:num w:numId="12">
    <w:abstractNumId w:val="3"/>
  </w:num>
  <w:num w:numId="13">
    <w:abstractNumId w:val="15"/>
  </w:num>
  <w:num w:numId="14">
    <w:abstractNumId w:val="29"/>
  </w:num>
  <w:num w:numId="15">
    <w:abstractNumId w:val="21"/>
  </w:num>
  <w:num w:numId="16">
    <w:abstractNumId w:val="34"/>
  </w:num>
  <w:num w:numId="17">
    <w:abstractNumId w:val="16"/>
  </w:num>
  <w:num w:numId="18">
    <w:abstractNumId w:val="20"/>
  </w:num>
  <w:num w:numId="19">
    <w:abstractNumId w:val="9"/>
  </w:num>
  <w:num w:numId="20">
    <w:abstractNumId w:val="27"/>
  </w:num>
  <w:num w:numId="21">
    <w:abstractNumId w:val="25"/>
  </w:num>
  <w:num w:numId="22">
    <w:abstractNumId w:val="4"/>
  </w:num>
  <w:num w:numId="23">
    <w:abstractNumId w:val="6"/>
  </w:num>
  <w:num w:numId="24">
    <w:abstractNumId w:val="19"/>
  </w:num>
  <w:num w:numId="25">
    <w:abstractNumId w:val="18"/>
  </w:num>
  <w:num w:numId="26">
    <w:abstractNumId w:val="0"/>
  </w:num>
  <w:num w:numId="27">
    <w:abstractNumId w:val="14"/>
  </w:num>
  <w:num w:numId="28">
    <w:abstractNumId w:val="26"/>
  </w:num>
  <w:num w:numId="29">
    <w:abstractNumId w:val="7"/>
  </w:num>
  <w:num w:numId="30">
    <w:abstractNumId w:val="17"/>
  </w:num>
  <w:num w:numId="31">
    <w:abstractNumId w:val="35"/>
  </w:num>
  <w:num w:numId="32">
    <w:abstractNumId w:val="12"/>
  </w:num>
  <w:num w:numId="33">
    <w:abstractNumId w:val="13"/>
  </w:num>
  <w:num w:numId="34">
    <w:abstractNumId w:val="28"/>
  </w:num>
  <w:num w:numId="35">
    <w:abstractNumId w:val="2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83903"/>
    <w:rsid w:val="000B0D20"/>
    <w:rsid w:val="00103253"/>
    <w:rsid w:val="0011597E"/>
    <w:rsid w:val="001868B8"/>
    <w:rsid w:val="001E5DD5"/>
    <w:rsid w:val="002B19EE"/>
    <w:rsid w:val="002E57A4"/>
    <w:rsid w:val="00354137"/>
    <w:rsid w:val="003A76D7"/>
    <w:rsid w:val="003B6CD4"/>
    <w:rsid w:val="0041278E"/>
    <w:rsid w:val="004C752F"/>
    <w:rsid w:val="005D29BF"/>
    <w:rsid w:val="005F7BF4"/>
    <w:rsid w:val="00684129"/>
    <w:rsid w:val="007244D3"/>
    <w:rsid w:val="0075404E"/>
    <w:rsid w:val="00773C37"/>
    <w:rsid w:val="00787945"/>
    <w:rsid w:val="007C6F68"/>
    <w:rsid w:val="007F729E"/>
    <w:rsid w:val="008D73A6"/>
    <w:rsid w:val="008F3F2D"/>
    <w:rsid w:val="00957F0E"/>
    <w:rsid w:val="0097472C"/>
    <w:rsid w:val="00A00644"/>
    <w:rsid w:val="00A04F09"/>
    <w:rsid w:val="00A517AD"/>
    <w:rsid w:val="00A85CD1"/>
    <w:rsid w:val="00A86509"/>
    <w:rsid w:val="00A90F21"/>
    <w:rsid w:val="00AD2268"/>
    <w:rsid w:val="00B012E1"/>
    <w:rsid w:val="00B05438"/>
    <w:rsid w:val="00B617F1"/>
    <w:rsid w:val="00C1635D"/>
    <w:rsid w:val="00C64B86"/>
    <w:rsid w:val="00C9512C"/>
    <w:rsid w:val="00CC4ADF"/>
    <w:rsid w:val="00D07749"/>
    <w:rsid w:val="00E10A35"/>
    <w:rsid w:val="00E953A2"/>
    <w:rsid w:val="00EE7207"/>
    <w:rsid w:val="00F03E3B"/>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186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186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374</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8</cp:revision>
  <cp:lastPrinted>2012-05-17T18:09:00Z</cp:lastPrinted>
  <dcterms:created xsi:type="dcterms:W3CDTF">2014-02-24T10:08:00Z</dcterms:created>
  <dcterms:modified xsi:type="dcterms:W3CDTF">2014-02-24T10:26:00Z</dcterms:modified>
</cp:coreProperties>
</file>