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68BB9" w14:textId="77777777" w:rsid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44B92BAD" w14:textId="7013EB58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BA15AC">
        <w:rPr>
          <w:rFonts w:ascii="Arial" w:hAnsi="Arial" w:cs="Arial"/>
          <w:b/>
          <w:bCs/>
          <w:sz w:val="24"/>
          <w:szCs w:val="24"/>
        </w:rPr>
        <w:t>Décret n° 2011-2280 du 23 septembre 2011</w:t>
      </w:r>
      <w:bookmarkEnd w:id="0"/>
      <w:r w:rsidRPr="00BA15AC">
        <w:rPr>
          <w:rFonts w:ascii="Arial" w:hAnsi="Arial" w:cs="Arial"/>
          <w:b/>
          <w:bCs/>
          <w:sz w:val="24"/>
          <w:szCs w:val="24"/>
        </w:rPr>
        <w:t>, portant fixation du nombre des chambres contentieuses et des chambres et sections consultat</w:t>
      </w:r>
      <w:r>
        <w:rPr>
          <w:rFonts w:ascii="Arial" w:hAnsi="Arial" w:cs="Arial"/>
          <w:b/>
          <w:bCs/>
          <w:sz w:val="24"/>
          <w:szCs w:val="24"/>
        </w:rPr>
        <w:t>ives du tribunal administratif</w:t>
      </w:r>
    </w:p>
    <w:p w14:paraId="0ECD5DAC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Le Président de la République par intérim,</w:t>
      </w:r>
    </w:p>
    <w:p w14:paraId="778F5072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 xml:space="preserve">Sur proposition du Premier ministre, </w:t>
      </w:r>
    </w:p>
    <w:p w14:paraId="500E11C2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la loi n° 72-40 du 1er juin 1972, relative au tribunal administratif, ensemble les textes qui l’ont modifiée et complétée et notamment la loi organique n° 2011-2 du 3 janvier 2011 et notamment son article 15,</w:t>
      </w:r>
    </w:p>
    <w:p w14:paraId="46CC327E" w14:textId="684274CD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le dé</w:t>
      </w:r>
      <w:r>
        <w:rPr>
          <w:rFonts w:ascii="Arial" w:hAnsi="Arial" w:cs="Arial"/>
          <w:sz w:val="20"/>
          <w:szCs w:val="20"/>
        </w:rPr>
        <w:t xml:space="preserve">cret- </w:t>
      </w:r>
      <w:r w:rsidRPr="00BA15AC">
        <w:rPr>
          <w:rFonts w:ascii="Arial" w:hAnsi="Arial" w:cs="Arial"/>
          <w:sz w:val="20"/>
          <w:szCs w:val="20"/>
        </w:rPr>
        <w:t>loi n° 2011-14 du 23 mars 2011, portant organisation provisoire des pouvoirs publics,</w:t>
      </w:r>
    </w:p>
    <w:p w14:paraId="22B9DEA5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le décret n° 69-400 du 7 novembre 1969, portant création d’un Premier ministère et fixant les attributions du Premier ministre,</w:t>
      </w:r>
    </w:p>
    <w:p w14:paraId="4F9F35BC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le décret n° 2011-484 du 7 mai 2011, portant fixation du nombre des chambres contentieuses et des chambres et sections consultatives du tribunal administratif,</w:t>
      </w:r>
    </w:p>
    <w:p w14:paraId="29DD4650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l’avis du ministre des finances,</w:t>
      </w:r>
    </w:p>
    <w:p w14:paraId="28DF3CD0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Vu l’avis du tribunal administratif.</w:t>
      </w:r>
    </w:p>
    <w:p w14:paraId="172CB18F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Décrète :</w:t>
      </w:r>
    </w:p>
    <w:p w14:paraId="28A4850E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BA15AC">
        <w:rPr>
          <w:rFonts w:ascii="Arial" w:hAnsi="Arial" w:cs="Arial"/>
          <w:sz w:val="20"/>
          <w:szCs w:val="20"/>
        </w:rPr>
        <w:t xml:space="preserve"> Le nombre des chambres contentieuses et des chambres et sections consultatives du tribunal administratif est fixé comme suit :</w:t>
      </w:r>
    </w:p>
    <w:p w14:paraId="4A913636" w14:textId="0652100E" w:rsidR="00BA15AC" w:rsidRPr="00BA15AC" w:rsidRDefault="00BA15AC" w:rsidP="00BA15AC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quatre (4) chambres de cassation,</w:t>
      </w:r>
    </w:p>
    <w:p w14:paraId="3FD9A470" w14:textId="7915206E" w:rsidR="00BA15AC" w:rsidRPr="00BA15AC" w:rsidRDefault="00BA15AC" w:rsidP="00BA15AC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deux (2) chambres consultatives,</w:t>
      </w:r>
    </w:p>
    <w:p w14:paraId="1B8628F8" w14:textId="5EC454C9" w:rsidR="00BA15AC" w:rsidRPr="00BA15AC" w:rsidRDefault="00BA15AC" w:rsidP="00BA15AC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six (6) chambres d’appel,</w:t>
      </w:r>
    </w:p>
    <w:p w14:paraId="04DE6220" w14:textId="548081C2" w:rsidR="00BA15AC" w:rsidRPr="00BA15AC" w:rsidRDefault="00BA15AC" w:rsidP="00BA15AC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dix (10) chambres de première instance,</w:t>
      </w:r>
    </w:p>
    <w:p w14:paraId="626729A8" w14:textId="1C88F2F1" w:rsidR="00BA15AC" w:rsidRPr="00BA15AC" w:rsidRDefault="00BA15AC" w:rsidP="00BA15AC">
      <w:pPr>
        <w:pStyle w:val="Paragraphedeliste"/>
        <w:numPr>
          <w:ilvl w:val="0"/>
          <w:numId w:val="20"/>
        </w:numPr>
        <w:spacing w:before="100" w:beforeAutospacing="1" w:after="0" w:line="240" w:lineRule="auto"/>
        <w:ind w:left="927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sz w:val="20"/>
          <w:szCs w:val="20"/>
        </w:rPr>
        <w:t>deux (2) sections consultatives.</w:t>
      </w:r>
    </w:p>
    <w:p w14:paraId="2AB60F8A" w14:textId="600F2B70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BA15AC">
        <w:rPr>
          <w:rFonts w:ascii="Arial" w:hAnsi="Arial" w:cs="Arial"/>
          <w:sz w:val="20"/>
          <w:szCs w:val="20"/>
        </w:rPr>
        <w:t>Sont abrogées, toutes les dispositions antérieures contraires au présent décret et notamment le décret n° 2011-484 du 7 mai 2011 susvisé.</w:t>
      </w:r>
    </w:p>
    <w:p w14:paraId="257EDE20" w14:textId="38A4543E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BA15AC">
        <w:rPr>
          <w:rFonts w:ascii="Arial" w:hAnsi="Arial" w:cs="Arial"/>
          <w:sz w:val="20"/>
          <w:szCs w:val="20"/>
        </w:rPr>
        <w:t>Le Premier ministre et le ministre des finances sont chargés, chacun en ce qui le concerne, de l’exécution du présent décret qui sera publié au Journal Officiel de la République Tunisienne.</w:t>
      </w:r>
    </w:p>
    <w:p w14:paraId="0F1C45EC" w14:textId="77777777" w:rsidR="00BA15AC" w:rsidRPr="00BA15AC" w:rsidRDefault="00BA15AC" w:rsidP="00BA15AC">
      <w:pPr>
        <w:spacing w:before="100" w:beforeAutospacing="1" w:after="0" w:line="240" w:lineRule="auto"/>
        <w:ind w:left="284"/>
        <w:rPr>
          <w:rFonts w:ascii="Arial" w:hAnsi="Arial" w:cs="Arial"/>
          <w:sz w:val="20"/>
          <w:szCs w:val="20"/>
        </w:rPr>
      </w:pPr>
      <w:r w:rsidRPr="00BA15AC">
        <w:rPr>
          <w:rFonts w:ascii="Arial" w:hAnsi="Arial" w:cs="Arial"/>
          <w:b/>
          <w:bCs/>
          <w:sz w:val="20"/>
          <w:szCs w:val="20"/>
        </w:rPr>
        <w:t>Tunis, le 23 septembre 2011</w:t>
      </w:r>
      <w:r w:rsidRPr="00BA15AC">
        <w:rPr>
          <w:rFonts w:ascii="Arial" w:hAnsi="Arial" w:cs="Arial"/>
          <w:sz w:val="20"/>
          <w:szCs w:val="20"/>
        </w:rPr>
        <w:t>.</w:t>
      </w:r>
    </w:p>
    <w:p w14:paraId="4903BEBB" w14:textId="0F1EAD4A" w:rsidR="00B80B4F" w:rsidRPr="007F7D73" w:rsidRDefault="00B80B4F" w:rsidP="00BA15AC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0B4F" w:rsidRPr="007F7D73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FFCE" w14:textId="77777777" w:rsidR="00634928" w:rsidRDefault="00634928" w:rsidP="008F3F2D">
      <w:r>
        <w:separator/>
      </w:r>
    </w:p>
  </w:endnote>
  <w:endnote w:type="continuationSeparator" w:id="0">
    <w:p w14:paraId="1E630258" w14:textId="77777777" w:rsidR="00634928" w:rsidRDefault="0063492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59BE8471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B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A125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59BE8471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80B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A125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64A57F9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492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3492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64A57F9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3492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3492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298F9" w14:textId="77777777" w:rsidR="00634928" w:rsidRDefault="00634928" w:rsidP="008F3F2D">
      <w:r>
        <w:separator/>
      </w:r>
    </w:p>
  </w:footnote>
  <w:footnote w:type="continuationSeparator" w:id="0">
    <w:p w14:paraId="643A69B8" w14:textId="77777777" w:rsidR="00634928" w:rsidRDefault="0063492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3E1E42"/>
    <w:multiLevelType w:val="hybridMultilevel"/>
    <w:tmpl w:val="A5263F38"/>
    <w:lvl w:ilvl="0" w:tplc="10004A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50B456D3"/>
    <w:multiLevelType w:val="hybridMultilevel"/>
    <w:tmpl w:val="33BE914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7"/>
  </w:num>
  <w:num w:numId="7">
    <w:abstractNumId w:val="0"/>
  </w:num>
  <w:num w:numId="8">
    <w:abstractNumId w:val="8"/>
  </w:num>
  <w:num w:numId="9">
    <w:abstractNumId w:val="3"/>
  </w:num>
  <w:num w:numId="10">
    <w:abstractNumId w:val="18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10"/>
  </w:num>
  <w:num w:numId="18">
    <w:abstractNumId w:val="20"/>
  </w:num>
  <w:num w:numId="19">
    <w:abstractNumId w:val="6"/>
  </w:num>
  <w:num w:numId="20">
    <w:abstractNumId w:val="13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A31"/>
    <w:rsid w:val="000414A7"/>
    <w:rsid w:val="00062ECD"/>
    <w:rsid w:val="00077529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07589"/>
    <w:rsid w:val="0021089C"/>
    <w:rsid w:val="00215EF7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594F"/>
    <w:rsid w:val="00634928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7F7D73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1258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80B4F"/>
    <w:rsid w:val="00B90CF2"/>
    <w:rsid w:val="00BA15AC"/>
    <w:rsid w:val="00BA3F7F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2002F"/>
    <w:rsid w:val="00D274F6"/>
    <w:rsid w:val="00D34898"/>
    <w:rsid w:val="00D36176"/>
    <w:rsid w:val="00D501BD"/>
    <w:rsid w:val="00D55CDF"/>
    <w:rsid w:val="00D566AB"/>
    <w:rsid w:val="00D65949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BDBB-EDDD-46CD-B73D-CB7077CD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2</cp:revision>
  <cp:lastPrinted>2017-01-20T09:32:00Z</cp:lastPrinted>
  <dcterms:created xsi:type="dcterms:W3CDTF">2017-02-23T10:28:00Z</dcterms:created>
  <dcterms:modified xsi:type="dcterms:W3CDTF">2017-02-23T10:28:00Z</dcterms:modified>
</cp:coreProperties>
</file>