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47065" w14:textId="77777777" w:rsidR="00305BB0" w:rsidRPr="00305BB0" w:rsidRDefault="00305BB0" w:rsidP="00305BB0">
      <w:pPr>
        <w:spacing w:before="100" w:beforeAutospacing="1" w:after="0"/>
        <w:ind w:left="284"/>
        <w:rPr>
          <w:rFonts w:ascii="Arial" w:hAnsi="Arial" w:cs="Arial"/>
          <w:sz w:val="20"/>
          <w:szCs w:val="20"/>
        </w:rPr>
      </w:pPr>
    </w:p>
    <w:p w14:paraId="601D7E0E" w14:textId="3CAA850A" w:rsidR="00305BB0" w:rsidRPr="00305BB0" w:rsidRDefault="00305BB0" w:rsidP="00305BB0">
      <w:pPr>
        <w:spacing w:before="100" w:beforeAutospacing="1" w:after="0"/>
        <w:ind w:left="284"/>
        <w:rPr>
          <w:rFonts w:ascii="Arial" w:hAnsi="Arial" w:cs="Arial"/>
          <w:b/>
          <w:bCs/>
          <w:sz w:val="24"/>
          <w:szCs w:val="24"/>
        </w:rPr>
      </w:pPr>
      <w:bookmarkStart w:id="0" w:name="_GoBack"/>
      <w:r w:rsidRPr="00305BB0">
        <w:rPr>
          <w:rFonts w:ascii="Arial" w:hAnsi="Arial" w:cs="Arial"/>
          <w:b/>
          <w:bCs/>
          <w:sz w:val="24"/>
          <w:szCs w:val="24"/>
        </w:rPr>
        <w:t>Décret n°</w:t>
      </w:r>
      <w:r>
        <w:rPr>
          <w:rFonts w:ascii="Arial" w:hAnsi="Arial" w:cs="Arial"/>
          <w:b/>
          <w:bCs/>
          <w:sz w:val="24"/>
          <w:szCs w:val="24"/>
        </w:rPr>
        <w:t xml:space="preserve"> 2001-2125 du 10 septembre 2001 </w:t>
      </w:r>
      <w:bookmarkEnd w:id="0"/>
      <w:r w:rsidRPr="00305BB0">
        <w:rPr>
          <w:rFonts w:ascii="Arial" w:hAnsi="Arial" w:cs="Arial"/>
          <w:b/>
          <w:bCs/>
          <w:sz w:val="24"/>
          <w:szCs w:val="24"/>
        </w:rPr>
        <w:t xml:space="preserve">portant institution </w:t>
      </w:r>
      <w:r w:rsidRPr="00305BB0">
        <w:rPr>
          <w:rFonts w:ascii="Arial" w:hAnsi="Arial" w:cs="Arial"/>
          <w:b/>
          <w:bCs/>
          <w:sz w:val="24"/>
          <w:szCs w:val="24"/>
        </w:rPr>
        <w:t>d’une</w:t>
      </w:r>
      <w:r w:rsidRPr="00305BB0">
        <w:rPr>
          <w:rFonts w:ascii="Arial" w:hAnsi="Arial" w:cs="Arial"/>
          <w:b/>
          <w:bCs/>
          <w:sz w:val="24"/>
          <w:szCs w:val="24"/>
        </w:rPr>
        <w:t xml:space="preserve"> </w:t>
      </w:r>
      <w:r w:rsidRPr="00305BB0">
        <w:rPr>
          <w:rFonts w:ascii="Arial" w:hAnsi="Arial" w:cs="Arial"/>
          <w:b/>
          <w:bCs/>
          <w:sz w:val="24"/>
          <w:szCs w:val="24"/>
        </w:rPr>
        <w:t>indemnité</w:t>
      </w:r>
      <w:r w:rsidRPr="00305BB0">
        <w:rPr>
          <w:rFonts w:ascii="Arial" w:hAnsi="Arial" w:cs="Arial"/>
          <w:b/>
          <w:bCs/>
          <w:sz w:val="24"/>
          <w:szCs w:val="24"/>
        </w:rPr>
        <w:t xml:space="preserve"> </w:t>
      </w:r>
      <w:r w:rsidRPr="00305BB0">
        <w:rPr>
          <w:rFonts w:ascii="Arial" w:hAnsi="Arial" w:cs="Arial"/>
          <w:b/>
          <w:bCs/>
          <w:sz w:val="24"/>
          <w:szCs w:val="24"/>
        </w:rPr>
        <w:t>spécifique</w:t>
      </w:r>
      <w:r w:rsidRPr="00305BB0">
        <w:rPr>
          <w:rFonts w:ascii="Arial" w:hAnsi="Arial" w:cs="Arial"/>
          <w:b/>
          <w:bCs/>
          <w:sz w:val="24"/>
          <w:szCs w:val="24"/>
        </w:rPr>
        <w:t xml:space="preserve"> au profit des magistrats de l'ordre judiciaire</w:t>
      </w:r>
    </w:p>
    <w:p w14:paraId="6B4F6BCB"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Le Président de la République,</w:t>
      </w:r>
    </w:p>
    <w:p w14:paraId="60E744E1"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Sur proposition du ministre de la justice,</w:t>
      </w:r>
    </w:p>
    <w:p w14:paraId="234A486D"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Vu la loi n° 67-29 du 14 juillet 1967, relative à l'organisation judiciaire, au conseil supérieur de la magistrature et au statut des magistrats, ensemble les textes qui l'ont modifiée ou complétée et notamment la loi organique n° 91-9 du 25 février 1991,</w:t>
      </w:r>
    </w:p>
    <w:p w14:paraId="73C94B85"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Vu la loi n° 85-12 du 5 mars 1985, portant régime des pensions civiles et militaires de retraite et des survivants dans le secteur public, telle que modifiée et complétée par la loi n° 88-71 du 27 juin 1988,</w:t>
      </w:r>
    </w:p>
    <w:p w14:paraId="0C6329ED"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Vu la loi n° 89-114 du 30 décembre 1989, portant promulgation du code de l'impôt sur le revenu des personnes physiques et de l'impôt sur les sociétés,</w:t>
      </w:r>
    </w:p>
    <w:p w14:paraId="534C1F45"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 xml:space="preserve">Vu le décret n° 85-980 du 11 août 1985, fixant la liste des éléments permanents de la rémunération des agents de l'Etat, des collectivités publiques locales et des établissements publics à caractère administratif, soumis à retenu pour la retraite, ensemble les textes qui l'ont modifié ou complété, </w:t>
      </w:r>
    </w:p>
    <w:p w14:paraId="2A58806C"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Vu le décret n° 97-1832 du 16 septembre 1997, fixant le traitement de base des personnels de l'Etat, des collectivités publiques locales et des établissements publics à caractère administratif,</w:t>
      </w:r>
    </w:p>
    <w:p w14:paraId="2043675C"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Vu l'avis du ministre des finances,</w:t>
      </w:r>
    </w:p>
    <w:p w14:paraId="54E0E9C5"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Vu l'avis du tribunal administratif.</w:t>
      </w:r>
    </w:p>
    <w:p w14:paraId="537510FE"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Décrète :</w:t>
      </w:r>
    </w:p>
    <w:p w14:paraId="4D19C5BA" w14:textId="0C8FDCB3"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b/>
          <w:bCs/>
          <w:i/>
          <w:iCs/>
          <w:sz w:val="20"/>
          <w:szCs w:val="20"/>
        </w:rPr>
        <w:t>Article premier –</w:t>
      </w:r>
      <w:r>
        <w:rPr>
          <w:rFonts w:ascii="Arial" w:hAnsi="Arial" w:cs="Arial"/>
          <w:sz w:val="20"/>
          <w:szCs w:val="20"/>
        </w:rPr>
        <w:t xml:space="preserve"> </w:t>
      </w:r>
      <w:r w:rsidRPr="00305BB0">
        <w:rPr>
          <w:rFonts w:ascii="Arial" w:hAnsi="Arial" w:cs="Arial"/>
          <w:sz w:val="20"/>
          <w:szCs w:val="20"/>
        </w:rPr>
        <w:t>Il est institué au profit des magistrats de l'ordre judiciaire une indemnité spécifique appelée indemnité de permanence.</w:t>
      </w:r>
    </w:p>
    <w:p w14:paraId="70C34829" w14:textId="6300536B"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b/>
          <w:bCs/>
          <w:i/>
          <w:iCs/>
          <w:sz w:val="20"/>
          <w:szCs w:val="20"/>
        </w:rPr>
        <w:t xml:space="preserve">Art. 2 – </w:t>
      </w:r>
      <w:r w:rsidRPr="00305BB0">
        <w:rPr>
          <w:rFonts w:ascii="Arial" w:hAnsi="Arial" w:cs="Arial"/>
          <w:b/>
          <w:bCs/>
          <w:i/>
          <w:iCs/>
          <w:sz w:val="20"/>
          <w:szCs w:val="20"/>
        </w:rPr>
        <w:t>Les</w:t>
      </w:r>
      <w:r w:rsidRPr="00305BB0">
        <w:rPr>
          <w:rFonts w:ascii="Arial" w:hAnsi="Arial" w:cs="Arial"/>
          <w:sz w:val="20"/>
          <w:szCs w:val="20"/>
        </w:rPr>
        <w:t xml:space="preserve"> magistrats de siège assurent alternativement dans les lieux de leur travail des séances de permanence sur la base d'une séance le vendredi et une séance le samedi en dehors de l'horaire administratif et, au total, de trois séances par mois pour chaque magistrat.</w:t>
      </w:r>
    </w:p>
    <w:p w14:paraId="0EB433B3"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Pour les membres des chambres criminelles et correctionnelles, les séances de permanence sont assurées en dehors de l'horaire du travail administratif, et ce, selon les exigences du travail dans chaque tribunal.</w:t>
      </w:r>
    </w:p>
    <w:p w14:paraId="32301599" w14:textId="77777777"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Pour les membres du parquet et les juges d'instruction, les séances de permanence sont alternativement assurées en dehors de l'horaire du travail administratif et durant tous les jours de la semaine y compris les dimanches et jours fériées.</w:t>
      </w:r>
    </w:p>
    <w:p w14:paraId="23A07DF4" w14:textId="77777777" w:rsidR="00305BB0" w:rsidRDefault="00305BB0" w:rsidP="00305BB0">
      <w:pPr>
        <w:spacing w:before="100" w:beforeAutospacing="1" w:after="0"/>
        <w:ind w:left="284"/>
        <w:rPr>
          <w:rFonts w:ascii="Arial" w:hAnsi="Arial" w:cs="Arial"/>
          <w:sz w:val="20"/>
          <w:szCs w:val="20"/>
        </w:rPr>
      </w:pPr>
      <w:r w:rsidRPr="00305BB0">
        <w:rPr>
          <w:rFonts w:ascii="Arial" w:hAnsi="Arial" w:cs="Arial"/>
          <w:sz w:val="20"/>
          <w:szCs w:val="20"/>
        </w:rPr>
        <w:t>Le président du tribunal et le chef du parquet auprès dudit tribunal établissent un tableau mensuel relatif à la répartition des séances de permanence.</w:t>
      </w:r>
    </w:p>
    <w:p w14:paraId="557B105A" w14:textId="303C5152"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b/>
          <w:bCs/>
          <w:i/>
          <w:iCs/>
          <w:sz w:val="20"/>
          <w:szCs w:val="20"/>
        </w:rPr>
        <w:lastRenderedPageBreak/>
        <w:t>Art. 3</w:t>
      </w:r>
      <w:r w:rsidRPr="00305BB0">
        <w:rPr>
          <w:rFonts w:ascii="Arial" w:hAnsi="Arial" w:cs="Arial"/>
          <w:b/>
          <w:bCs/>
          <w:i/>
          <w:iCs/>
          <w:sz w:val="20"/>
          <w:szCs w:val="20"/>
        </w:rPr>
        <w:t xml:space="preserve"> –</w:t>
      </w:r>
      <w:r>
        <w:rPr>
          <w:rFonts w:ascii="Arial" w:hAnsi="Arial" w:cs="Arial"/>
          <w:sz w:val="20"/>
          <w:szCs w:val="20"/>
        </w:rPr>
        <w:t xml:space="preserve"> </w:t>
      </w:r>
      <w:r w:rsidRPr="00305BB0">
        <w:rPr>
          <w:rFonts w:ascii="Arial" w:hAnsi="Arial" w:cs="Arial"/>
          <w:sz w:val="20"/>
          <w:szCs w:val="20"/>
        </w:rPr>
        <w:t>L'indemnité de permanence est servie mensuellement et elle est soumise à l'impôt sur le revenu, aux retenues au titre des cotisations aux régimes de retraite, de prévoyance sociale et du capital décès, conformément à la réglementation en vigueur.</w:t>
      </w:r>
    </w:p>
    <w:p w14:paraId="437BF7BD" w14:textId="09972FC8"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b/>
          <w:bCs/>
          <w:i/>
          <w:iCs/>
          <w:sz w:val="20"/>
          <w:szCs w:val="20"/>
        </w:rPr>
        <w:t xml:space="preserve">Art. </w:t>
      </w:r>
      <w:r w:rsidRPr="00305BB0">
        <w:rPr>
          <w:rFonts w:ascii="Arial" w:hAnsi="Arial" w:cs="Arial"/>
          <w:b/>
          <w:bCs/>
          <w:i/>
          <w:iCs/>
          <w:sz w:val="20"/>
          <w:szCs w:val="20"/>
        </w:rPr>
        <w:t xml:space="preserve">4 – </w:t>
      </w:r>
      <w:r w:rsidRPr="00305BB0">
        <w:rPr>
          <w:rFonts w:ascii="Arial" w:hAnsi="Arial" w:cs="Arial"/>
          <w:b/>
          <w:bCs/>
          <w:i/>
          <w:iCs/>
          <w:sz w:val="20"/>
          <w:szCs w:val="20"/>
        </w:rPr>
        <w:t xml:space="preserve"> </w:t>
      </w:r>
      <w:r w:rsidRPr="00305BB0">
        <w:rPr>
          <w:rFonts w:ascii="Arial" w:hAnsi="Arial" w:cs="Arial"/>
          <w:sz w:val="20"/>
          <w:szCs w:val="20"/>
        </w:rPr>
        <w:t>Le montant mensuel de l'indemnité visée à l'article premier du présent décret est fixé conformément au tableau suivant :</w:t>
      </w:r>
    </w:p>
    <w:tbl>
      <w:tblPr>
        <w:tblStyle w:val="Grilledutableau"/>
        <w:tblW w:w="0" w:type="auto"/>
        <w:tblInd w:w="675" w:type="dxa"/>
        <w:tblLook w:val="04A0" w:firstRow="1" w:lastRow="0" w:firstColumn="1" w:lastColumn="0" w:noHBand="0" w:noVBand="1"/>
      </w:tblPr>
      <w:tblGrid>
        <w:gridCol w:w="4399"/>
        <w:gridCol w:w="3681"/>
      </w:tblGrid>
      <w:tr w:rsidR="00305BB0" w:rsidRPr="00305BB0" w14:paraId="7DB08416" w14:textId="77777777" w:rsidTr="00305BB0">
        <w:tc>
          <w:tcPr>
            <w:tcW w:w="4399" w:type="dxa"/>
          </w:tcPr>
          <w:p w14:paraId="6A49771E" w14:textId="77777777" w:rsidR="00305BB0" w:rsidRPr="00305BB0" w:rsidRDefault="00305BB0" w:rsidP="0029700D">
            <w:pPr>
              <w:spacing w:before="100" w:beforeAutospacing="1" w:after="0"/>
              <w:rPr>
                <w:rFonts w:ascii="Arial" w:hAnsi="Arial" w:cs="Arial"/>
                <w:sz w:val="20"/>
                <w:szCs w:val="20"/>
              </w:rPr>
            </w:pPr>
            <w:r w:rsidRPr="00305BB0">
              <w:rPr>
                <w:rFonts w:ascii="Arial" w:hAnsi="Arial" w:cs="Arial"/>
                <w:sz w:val="20"/>
                <w:szCs w:val="20"/>
              </w:rPr>
              <w:t>Troisième grade</w:t>
            </w:r>
          </w:p>
        </w:tc>
        <w:tc>
          <w:tcPr>
            <w:tcW w:w="3681" w:type="dxa"/>
            <w:vAlign w:val="center"/>
          </w:tcPr>
          <w:p w14:paraId="1F6B97F0" w14:textId="77777777" w:rsidR="00305BB0" w:rsidRPr="00305BB0" w:rsidRDefault="00305BB0" w:rsidP="00305BB0">
            <w:pPr>
              <w:spacing w:before="100" w:beforeAutospacing="1" w:after="0"/>
              <w:jc w:val="center"/>
              <w:rPr>
                <w:rFonts w:ascii="Arial" w:hAnsi="Arial" w:cs="Arial"/>
                <w:sz w:val="20"/>
                <w:szCs w:val="20"/>
              </w:rPr>
            </w:pPr>
            <w:r w:rsidRPr="00305BB0">
              <w:rPr>
                <w:rFonts w:ascii="Arial" w:hAnsi="Arial" w:cs="Arial"/>
                <w:sz w:val="20"/>
                <w:szCs w:val="20"/>
              </w:rPr>
              <w:t>280D</w:t>
            </w:r>
          </w:p>
        </w:tc>
      </w:tr>
      <w:tr w:rsidR="00305BB0" w:rsidRPr="00305BB0" w14:paraId="10EAF39C" w14:textId="77777777" w:rsidTr="00305BB0">
        <w:tc>
          <w:tcPr>
            <w:tcW w:w="4399" w:type="dxa"/>
          </w:tcPr>
          <w:p w14:paraId="77C83F24" w14:textId="77777777" w:rsidR="00305BB0" w:rsidRPr="00305BB0" w:rsidRDefault="00305BB0" w:rsidP="0029700D">
            <w:pPr>
              <w:spacing w:before="100" w:beforeAutospacing="1" w:after="0"/>
              <w:rPr>
                <w:rFonts w:ascii="Arial" w:hAnsi="Arial" w:cs="Arial"/>
                <w:sz w:val="20"/>
                <w:szCs w:val="20"/>
              </w:rPr>
            </w:pPr>
            <w:r w:rsidRPr="00305BB0">
              <w:rPr>
                <w:rFonts w:ascii="Arial" w:hAnsi="Arial" w:cs="Arial"/>
                <w:sz w:val="20"/>
                <w:szCs w:val="20"/>
              </w:rPr>
              <w:t>Deuxième Grade</w:t>
            </w:r>
          </w:p>
        </w:tc>
        <w:tc>
          <w:tcPr>
            <w:tcW w:w="3681" w:type="dxa"/>
            <w:vAlign w:val="center"/>
          </w:tcPr>
          <w:p w14:paraId="582B51B8" w14:textId="77777777" w:rsidR="00305BB0" w:rsidRPr="00305BB0" w:rsidRDefault="00305BB0" w:rsidP="00305BB0">
            <w:pPr>
              <w:spacing w:before="100" w:beforeAutospacing="1" w:after="0"/>
              <w:jc w:val="center"/>
              <w:rPr>
                <w:rFonts w:ascii="Arial" w:hAnsi="Arial" w:cs="Arial"/>
                <w:sz w:val="20"/>
                <w:szCs w:val="20"/>
              </w:rPr>
            </w:pPr>
            <w:r w:rsidRPr="00305BB0">
              <w:rPr>
                <w:rFonts w:ascii="Arial" w:hAnsi="Arial" w:cs="Arial"/>
                <w:sz w:val="20"/>
                <w:szCs w:val="20"/>
              </w:rPr>
              <w:t>230D</w:t>
            </w:r>
          </w:p>
        </w:tc>
      </w:tr>
      <w:tr w:rsidR="00305BB0" w:rsidRPr="00305BB0" w14:paraId="39359A2D" w14:textId="77777777" w:rsidTr="00305BB0">
        <w:tc>
          <w:tcPr>
            <w:tcW w:w="4399" w:type="dxa"/>
          </w:tcPr>
          <w:p w14:paraId="20907380" w14:textId="77777777" w:rsidR="00305BB0" w:rsidRPr="00305BB0" w:rsidRDefault="00305BB0" w:rsidP="0029700D">
            <w:pPr>
              <w:spacing w:before="100" w:beforeAutospacing="1" w:after="0"/>
              <w:rPr>
                <w:rFonts w:ascii="Arial" w:hAnsi="Arial" w:cs="Arial"/>
                <w:sz w:val="20"/>
                <w:szCs w:val="20"/>
              </w:rPr>
            </w:pPr>
            <w:r w:rsidRPr="00305BB0">
              <w:rPr>
                <w:rFonts w:ascii="Arial" w:hAnsi="Arial" w:cs="Arial"/>
                <w:sz w:val="20"/>
                <w:szCs w:val="20"/>
              </w:rPr>
              <w:t>Premier grade</w:t>
            </w:r>
          </w:p>
        </w:tc>
        <w:tc>
          <w:tcPr>
            <w:tcW w:w="3681" w:type="dxa"/>
            <w:vAlign w:val="center"/>
          </w:tcPr>
          <w:p w14:paraId="60ABC872" w14:textId="77777777" w:rsidR="00305BB0" w:rsidRPr="00305BB0" w:rsidRDefault="00305BB0" w:rsidP="00305BB0">
            <w:pPr>
              <w:spacing w:before="100" w:beforeAutospacing="1" w:after="0"/>
              <w:jc w:val="center"/>
              <w:rPr>
                <w:rFonts w:ascii="Arial" w:hAnsi="Arial" w:cs="Arial"/>
                <w:sz w:val="20"/>
                <w:szCs w:val="20"/>
              </w:rPr>
            </w:pPr>
            <w:r w:rsidRPr="00305BB0">
              <w:rPr>
                <w:rFonts w:ascii="Arial" w:hAnsi="Arial" w:cs="Arial"/>
                <w:sz w:val="20"/>
                <w:szCs w:val="20"/>
              </w:rPr>
              <w:t>195D</w:t>
            </w:r>
          </w:p>
        </w:tc>
      </w:tr>
    </w:tbl>
    <w:p w14:paraId="6A184F9F" w14:textId="4B16BCB8"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b/>
          <w:bCs/>
          <w:i/>
          <w:iCs/>
          <w:sz w:val="20"/>
          <w:szCs w:val="20"/>
        </w:rPr>
        <w:t>Art. 5</w:t>
      </w:r>
      <w:r w:rsidRPr="00305BB0">
        <w:rPr>
          <w:rFonts w:ascii="Arial" w:hAnsi="Arial" w:cs="Arial"/>
          <w:b/>
          <w:bCs/>
          <w:i/>
          <w:iCs/>
          <w:sz w:val="20"/>
          <w:szCs w:val="20"/>
        </w:rPr>
        <w:t xml:space="preserve"> –</w:t>
      </w:r>
      <w:r>
        <w:rPr>
          <w:rFonts w:ascii="Arial" w:hAnsi="Arial" w:cs="Arial"/>
          <w:sz w:val="20"/>
          <w:szCs w:val="20"/>
        </w:rPr>
        <w:t xml:space="preserve"> </w:t>
      </w:r>
      <w:r w:rsidRPr="00305BB0">
        <w:rPr>
          <w:rFonts w:ascii="Arial" w:hAnsi="Arial" w:cs="Arial"/>
          <w:sz w:val="20"/>
          <w:szCs w:val="20"/>
        </w:rPr>
        <w:t xml:space="preserve"> Le présent décret entre en vigueur à partir du 1er janvier 2002.</w:t>
      </w:r>
    </w:p>
    <w:p w14:paraId="41B3882A" w14:textId="0AC62D89" w:rsidR="00305BB0" w:rsidRPr="00305BB0" w:rsidRDefault="00305BB0" w:rsidP="00305BB0">
      <w:pPr>
        <w:spacing w:before="100" w:beforeAutospacing="1" w:after="0"/>
        <w:ind w:left="284"/>
        <w:rPr>
          <w:rFonts w:ascii="Arial" w:hAnsi="Arial" w:cs="Arial"/>
          <w:sz w:val="20"/>
          <w:szCs w:val="20"/>
        </w:rPr>
      </w:pPr>
      <w:r w:rsidRPr="00305BB0">
        <w:rPr>
          <w:rFonts w:ascii="Arial" w:hAnsi="Arial" w:cs="Arial"/>
          <w:b/>
          <w:bCs/>
          <w:i/>
          <w:iCs/>
          <w:sz w:val="20"/>
          <w:szCs w:val="20"/>
        </w:rPr>
        <w:t>Art. 6 –</w:t>
      </w:r>
      <w:r>
        <w:rPr>
          <w:rFonts w:ascii="Arial" w:hAnsi="Arial" w:cs="Arial"/>
          <w:sz w:val="20"/>
          <w:szCs w:val="20"/>
        </w:rPr>
        <w:t xml:space="preserve"> </w:t>
      </w:r>
      <w:r w:rsidRPr="00305BB0">
        <w:rPr>
          <w:rFonts w:ascii="Arial" w:hAnsi="Arial" w:cs="Arial"/>
          <w:sz w:val="20"/>
          <w:szCs w:val="20"/>
        </w:rPr>
        <w:t xml:space="preserve"> Les ministres de la justice et des finances sont chargés, chacun en ce qui le concerne, de l'exécution du présent décret qui sera publié au Journal Officiel de la République Tunisienne.</w:t>
      </w:r>
    </w:p>
    <w:p w14:paraId="3EF69CD5" w14:textId="3F1E6B24" w:rsidR="0047243E" w:rsidRPr="00553EBA" w:rsidRDefault="00305BB0" w:rsidP="00305BB0">
      <w:pPr>
        <w:spacing w:before="100" w:beforeAutospacing="1" w:after="0"/>
        <w:ind w:left="284"/>
        <w:jc w:val="both"/>
        <w:rPr>
          <w:rFonts w:ascii="Arial" w:hAnsi="Arial" w:cs="Arial"/>
          <w:sz w:val="20"/>
          <w:szCs w:val="20"/>
        </w:rPr>
      </w:pPr>
      <w:r w:rsidRPr="00305BB0">
        <w:rPr>
          <w:rFonts w:ascii="Arial" w:hAnsi="Arial" w:cs="Arial"/>
          <w:b/>
          <w:bCs/>
          <w:sz w:val="20"/>
          <w:szCs w:val="20"/>
        </w:rPr>
        <w:t>Tunis, le 10 septembre 2001</w:t>
      </w:r>
      <w:r>
        <w:rPr>
          <w:rFonts w:ascii="Arial" w:hAnsi="Arial" w:cs="Arial"/>
          <w:sz w:val="20"/>
          <w:szCs w:val="20"/>
        </w:rPr>
        <w:t>.</w:t>
      </w:r>
    </w:p>
    <w:sectPr w:rsidR="0047243E" w:rsidRPr="00553EBA"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65C60" w14:textId="77777777" w:rsidR="00046F1D" w:rsidRDefault="00046F1D" w:rsidP="008F3F2D">
      <w:r>
        <w:separator/>
      </w:r>
    </w:p>
  </w:endnote>
  <w:endnote w:type="continuationSeparator" w:id="0">
    <w:p w14:paraId="4414134A" w14:textId="77777777" w:rsidR="00046F1D" w:rsidRDefault="00046F1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5BB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5BB0">
                            <w:rPr>
                              <w:rFonts w:ascii="Arial" w:hAnsi="Arial" w:cs="Arial"/>
                              <w:noProof/>
                              <w:sz w:val="18"/>
                              <w:szCs w:val="18"/>
                            </w:rPr>
                            <w:t>2</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5BB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5BB0">
                      <w:rPr>
                        <w:rFonts w:ascii="Arial" w:hAnsi="Arial" w:cs="Arial"/>
                        <w:noProof/>
                        <w:sz w:val="18"/>
                        <w:szCs w:val="18"/>
                      </w:rPr>
                      <w:t>2</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6F1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6F1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6F1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6F1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5A2B" w14:textId="77777777" w:rsidR="00046F1D" w:rsidRDefault="00046F1D" w:rsidP="008F3F2D">
      <w:r>
        <w:separator/>
      </w:r>
    </w:p>
  </w:footnote>
  <w:footnote w:type="continuationSeparator" w:id="0">
    <w:p w14:paraId="2883DFE6" w14:textId="77777777" w:rsidR="00046F1D" w:rsidRDefault="00046F1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9C6"/>
    <w:multiLevelType w:val="hybridMultilevel"/>
    <w:tmpl w:val="0AEC4DC2"/>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354CEC"/>
    <w:multiLevelType w:val="hybridMultilevel"/>
    <w:tmpl w:val="6F9655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C512BD0"/>
    <w:multiLevelType w:val="hybridMultilevel"/>
    <w:tmpl w:val="2834A0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53425"/>
    <w:multiLevelType w:val="hybridMultilevel"/>
    <w:tmpl w:val="4918880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F32A8"/>
    <w:multiLevelType w:val="hybridMultilevel"/>
    <w:tmpl w:val="3D203EF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1B04036"/>
    <w:multiLevelType w:val="hybridMultilevel"/>
    <w:tmpl w:val="4A006A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22A082A"/>
    <w:multiLevelType w:val="multilevel"/>
    <w:tmpl w:val="A7F4EAE6"/>
    <w:lvl w:ilvl="0">
      <w:start w:val="3"/>
      <w:numFmt w:val="upperRoman"/>
      <w:lvlText w:val="%1-"/>
      <w:lvlJc w:val="left"/>
      <w:pPr>
        <w:tabs>
          <w:tab w:val="num" w:pos="360"/>
        </w:tabs>
        <w:ind w:left="720" w:firstLine="0"/>
      </w:pPr>
      <w:rPr>
        <w:rFonts w:ascii="Tahoma"/>
        <w:strike w:val="0"/>
        <w:dstrike w:val="0"/>
        <w:color w:val="000000"/>
        <w:spacing w:val="4"/>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A846EEE"/>
    <w:multiLevelType w:val="hybridMultilevel"/>
    <w:tmpl w:val="D766217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BE8460F"/>
    <w:multiLevelType w:val="hybridMultilevel"/>
    <w:tmpl w:val="F0744704"/>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D7D0E780">
      <w:numFmt w:val="bullet"/>
      <w:lvlText w:val="-"/>
      <w:lvlJc w:val="left"/>
      <w:pPr>
        <w:ind w:left="2160" w:hanging="360"/>
      </w:pPr>
      <w:rPr>
        <w:rFonts w:ascii="Arial" w:eastAsiaTheme="minorEastAs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03DD7"/>
    <w:multiLevelType w:val="hybridMultilevel"/>
    <w:tmpl w:val="665061E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0D588D"/>
    <w:multiLevelType w:val="multilevel"/>
    <w:tmpl w:val="C28618EA"/>
    <w:lvl w:ilvl="0">
      <w:start w:val="2"/>
      <w:numFmt w:val="upperRoman"/>
      <w:lvlText w:val="%1-"/>
      <w:lvlJc w:val="left"/>
      <w:pPr>
        <w:tabs>
          <w:tab w:val="num" w:pos="288"/>
        </w:tabs>
        <w:ind w:left="720" w:firstLine="0"/>
      </w:pPr>
      <w:rPr>
        <w:rFonts w:ascii="Tahoma"/>
        <w:strike w:val="0"/>
        <w:dstrike w:val="0"/>
        <w:color w:val="000000"/>
        <w:spacing w:val="2"/>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AD2BE6"/>
    <w:multiLevelType w:val="hybridMultilevel"/>
    <w:tmpl w:val="997EE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B245EB"/>
    <w:multiLevelType w:val="hybridMultilevel"/>
    <w:tmpl w:val="FD34378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F1855B9"/>
    <w:multiLevelType w:val="hybridMultilevel"/>
    <w:tmpl w:val="B4A0FA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17E7B44"/>
    <w:multiLevelType w:val="hybridMultilevel"/>
    <w:tmpl w:val="60E48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E54C1D"/>
    <w:multiLevelType w:val="hybridMultilevel"/>
    <w:tmpl w:val="52F6107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23436A5"/>
    <w:multiLevelType w:val="hybridMultilevel"/>
    <w:tmpl w:val="3F3C38EC"/>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AA3197"/>
    <w:multiLevelType w:val="hybridMultilevel"/>
    <w:tmpl w:val="70F012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6A761A1"/>
    <w:multiLevelType w:val="hybridMultilevel"/>
    <w:tmpl w:val="4310383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83768D"/>
    <w:multiLevelType w:val="hybridMultilevel"/>
    <w:tmpl w:val="8E12E69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D146D50"/>
    <w:multiLevelType w:val="hybridMultilevel"/>
    <w:tmpl w:val="D93EDCA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F821DED"/>
    <w:multiLevelType w:val="hybridMultilevel"/>
    <w:tmpl w:val="9086CB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CA6532"/>
    <w:multiLevelType w:val="hybridMultilevel"/>
    <w:tmpl w:val="DE5E55C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627686"/>
    <w:multiLevelType w:val="hybridMultilevel"/>
    <w:tmpl w:val="89701AD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E6413E1"/>
    <w:multiLevelType w:val="hybridMultilevel"/>
    <w:tmpl w:val="91247B0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1C81BBB"/>
    <w:multiLevelType w:val="hybridMultilevel"/>
    <w:tmpl w:val="3B94EEF8"/>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E77345"/>
    <w:multiLevelType w:val="hybridMultilevel"/>
    <w:tmpl w:val="01B03B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C265821"/>
    <w:multiLevelType w:val="hybridMultilevel"/>
    <w:tmpl w:val="7DCC830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DB8138B"/>
    <w:multiLevelType w:val="hybridMultilevel"/>
    <w:tmpl w:val="CD48D47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09687B"/>
    <w:multiLevelType w:val="hybridMultilevel"/>
    <w:tmpl w:val="FBA6C01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3BC651F"/>
    <w:multiLevelType w:val="hybridMultilevel"/>
    <w:tmpl w:val="68A287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646C4633"/>
    <w:multiLevelType w:val="hybridMultilevel"/>
    <w:tmpl w:val="B2DEA4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0A2518"/>
    <w:multiLevelType w:val="hybridMultilevel"/>
    <w:tmpl w:val="9D30D0A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681C4026"/>
    <w:multiLevelType w:val="hybridMultilevel"/>
    <w:tmpl w:val="5900B94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724810D1"/>
    <w:multiLevelType w:val="hybridMultilevel"/>
    <w:tmpl w:val="A3F2FBD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7D987290"/>
    <w:multiLevelType w:val="hybridMultilevel"/>
    <w:tmpl w:val="B34268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7EFB43ED"/>
    <w:multiLevelType w:val="hybridMultilevel"/>
    <w:tmpl w:val="18AA9862"/>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5"/>
  </w:num>
  <w:num w:numId="4">
    <w:abstractNumId w:val="9"/>
  </w:num>
  <w:num w:numId="5">
    <w:abstractNumId w:val="18"/>
  </w:num>
  <w:num w:numId="6">
    <w:abstractNumId w:val="10"/>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lvlOverride w:ilvl="2"/>
    <w:lvlOverride w:ilvl="3"/>
    <w:lvlOverride w:ilvl="4"/>
    <w:lvlOverride w:ilvl="5"/>
    <w:lvlOverride w:ilvl="6"/>
    <w:lvlOverride w:ilvl="7"/>
    <w:lvlOverride w:ilvl="8"/>
  </w:num>
  <w:num w:numId="8">
    <w:abstractNumId w:val="12"/>
  </w:num>
  <w:num w:numId="9">
    <w:abstractNumId w:val="35"/>
  </w:num>
  <w:num w:numId="10">
    <w:abstractNumId w:val="33"/>
  </w:num>
  <w:num w:numId="11">
    <w:abstractNumId w:val="21"/>
  </w:num>
  <w:num w:numId="12">
    <w:abstractNumId w:val="31"/>
  </w:num>
  <w:num w:numId="13">
    <w:abstractNumId w:val="29"/>
  </w:num>
  <w:num w:numId="14">
    <w:abstractNumId w:val="20"/>
  </w:num>
  <w:num w:numId="15">
    <w:abstractNumId w:val="2"/>
  </w:num>
  <w:num w:numId="16">
    <w:abstractNumId w:val="28"/>
  </w:num>
  <w:num w:numId="17">
    <w:abstractNumId w:val="23"/>
  </w:num>
  <w:num w:numId="18">
    <w:abstractNumId w:val="14"/>
  </w:num>
  <w:num w:numId="19">
    <w:abstractNumId w:val="16"/>
  </w:num>
  <w:num w:numId="20">
    <w:abstractNumId w:val="30"/>
  </w:num>
  <w:num w:numId="21">
    <w:abstractNumId w:val="36"/>
  </w:num>
  <w:num w:numId="22">
    <w:abstractNumId w:val="26"/>
  </w:num>
  <w:num w:numId="23">
    <w:abstractNumId w:val="32"/>
  </w:num>
  <w:num w:numId="24">
    <w:abstractNumId w:val="24"/>
  </w:num>
  <w:num w:numId="25">
    <w:abstractNumId w:val="22"/>
  </w:num>
  <w:num w:numId="26">
    <w:abstractNumId w:val="3"/>
  </w:num>
  <w:num w:numId="27">
    <w:abstractNumId w:val="19"/>
  </w:num>
  <w:num w:numId="28">
    <w:abstractNumId w:val="34"/>
  </w:num>
  <w:num w:numId="29">
    <w:abstractNumId w:val="7"/>
  </w:num>
  <w:num w:numId="30">
    <w:abstractNumId w:val="1"/>
  </w:num>
  <w:num w:numId="31">
    <w:abstractNumId w:val="27"/>
  </w:num>
  <w:num w:numId="32">
    <w:abstractNumId w:val="4"/>
  </w:num>
  <w:num w:numId="33">
    <w:abstractNumId w:val="17"/>
  </w:num>
  <w:num w:numId="34">
    <w:abstractNumId w:val="15"/>
  </w:num>
  <w:num w:numId="35">
    <w:abstractNumId w:val="5"/>
  </w:num>
  <w:num w:numId="36">
    <w:abstractNumId w:val="13"/>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46F1D"/>
    <w:rsid w:val="00061148"/>
    <w:rsid w:val="00076FE0"/>
    <w:rsid w:val="000963E8"/>
    <w:rsid w:val="000A7A6F"/>
    <w:rsid w:val="000A7CBF"/>
    <w:rsid w:val="000B0D20"/>
    <w:rsid w:val="000D0DE1"/>
    <w:rsid w:val="000D6B41"/>
    <w:rsid w:val="000F06BA"/>
    <w:rsid w:val="000F5E4F"/>
    <w:rsid w:val="0011483C"/>
    <w:rsid w:val="001300FD"/>
    <w:rsid w:val="00167AF2"/>
    <w:rsid w:val="00175A71"/>
    <w:rsid w:val="001B3FA3"/>
    <w:rsid w:val="001D4213"/>
    <w:rsid w:val="001E218A"/>
    <w:rsid w:val="001E5DD5"/>
    <w:rsid w:val="0020398F"/>
    <w:rsid w:val="00207B46"/>
    <w:rsid w:val="00216D5D"/>
    <w:rsid w:val="0023744F"/>
    <w:rsid w:val="00241E0C"/>
    <w:rsid w:val="00292530"/>
    <w:rsid w:val="002A5FDE"/>
    <w:rsid w:val="002B19C5"/>
    <w:rsid w:val="002B19EE"/>
    <w:rsid w:val="002B5687"/>
    <w:rsid w:val="002C3707"/>
    <w:rsid w:val="002F4327"/>
    <w:rsid w:val="002F6AFF"/>
    <w:rsid w:val="00305BB0"/>
    <w:rsid w:val="003270A4"/>
    <w:rsid w:val="00331E9F"/>
    <w:rsid w:val="00354137"/>
    <w:rsid w:val="0035468F"/>
    <w:rsid w:val="003642FE"/>
    <w:rsid w:val="00374CE1"/>
    <w:rsid w:val="00395CE7"/>
    <w:rsid w:val="003A6116"/>
    <w:rsid w:val="003B0BB9"/>
    <w:rsid w:val="003B3738"/>
    <w:rsid w:val="003B4FE6"/>
    <w:rsid w:val="003B6943"/>
    <w:rsid w:val="003B6CD4"/>
    <w:rsid w:val="003D6A47"/>
    <w:rsid w:val="00400FF9"/>
    <w:rsid w:val="0040259D"/>
    <w:rsid w:val="004029A4"/>
    <w:rsid w:val="00410584"/>
    <w:rsid w:val="0045357D"/>
    <w:rsid w:val="0047243E"/>
    <w:rsid w:val="004743B9"/>
    <w:rsid w:val="00474E17"/>
    <w:rsid w:val="004A15AF"/>
    <w:rsid w:val="004C3AB0"/>
    <w:rsid w:val="004E27D3"/>
    <w:rsid w:val="00513AA8"/>
    <w:rsid w:val="005278EF"/>
    <w:rsid w:val="00535A01"/>
    <w:rsid w:val="00553EBA"/>
    <w:rsid w:val="00594A9F"/>
    <w:rsid w:val="005B1A33"/>
    <w:rsid w:val="005C4E1D"/>
    <w:rsid w:val="005D230C"/>
    <w:rsid w:val="005D3CAB"/>
    <w:rsid w:val="005E63B3"/>
    <w:rsid w:val="005E7E58"/>
    <w:rsid w:val="005F35A7"/>
    <w:rsid w:val="005F7BF4"/>
    <w:rsid w:val="00630EED"/>
    <w:rsid w:val="00646799"/>
    <w:rsid w:val="00646CD8"/>
    <w:rsid w:val="00684129"/>
    <w:rsid w:val="006A7DAD"/>
    <w:rsid w:val="006B52FD"/>
    <w:rsid w:val="006C426B"/>
    <w:rsid w:val="006D1264"/>
    <w:rsid w:val="00724237"/>
    <w:rsid w:val="007244D3"/>
    <w:rsid w:val="0075404E"/>
    <w:rsid w:val="00777625"/>
    <w:rsid w:val="00786A5D"/>
    <w:rsid w:val="007A68FB"/>
    <w:rsid w:val="007B713D"/>
    <w:rsid w:val="007C6362"/>
    <w:rsid w:val="007E1335"/>
    <w:rsid w:val="007F2398"/>
    <w:rsid w:val="00821013"/>
    <w:rsid w:val="00854780"/>
    <w:rsid w:val="0089552E"/>
    <w:rsid w:val="008A4B86"/>
    <w:rsid w:val="008C0466"/>
    <w:rsid w:val="008C106F"/>
    <w:rsid w:val="008F3F2D"/>
    <w:rsid w:val="00901D4B"/>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60A04"/>
    <w:rsid w:val="00A75FE4"/>
    <w:rsid w:val="00A766C0"/>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E10CE"/>
    <w:rsid w:val="00BF1847"/>
    <w:rsid w:val="00C15B18"/>
    <w:rsid w:val="00C1635D"/>
    <w:rsid w:val="00C3599B"/>
    <w:rsid w:val="00C512D8"/>
    <w:rsid w:val="00C61238"/>
    <w:rsid w:val="00C64B86"/>
    <w:rsid w:val="00C91F3C"/>
    <w:rsid w:val="00CC4ADF"/>
    <w:rsid w:val="00CD04F4"/>
    <w:rsid w:val="00CF5B76"/>
    <w:rsid w:val="00D07749"/>
    <w:rsid w:val="00D11988"/>
    <w:rsid w:val="00D3535B"/>
    <w:rsid w:val="00D73F43"/>
    <w:rsid w:val="00D741D7"/>
    <w:rsid w:val="00D8082B"/>
    <w:rsid w:val="00D90BA6"/>
    <w:rsid w:val="00DA330A"/>
    <w:rsid w:val="00DB6B47"/>
    <w:rsid w:val="00E10A35"/>
    <w:rsid w:val="00E310BF"/>
    <w:rsid w:val="00E61279"/>
    <w:rsid w:val="00E858A5"/>
    <w:rsid w:val="00E953A2"/>
    <w:rsid w:val="00ED5004"/>
    <w:rsid w:val="00F147C1"/>
    <w:rsid w:val="00F177F3"/>
    <w:rsid w:val="00F34620"/>
    <w:rsid w:val="00F57B75"/>
    <w:rsid w:val="00F60BC9"/>
    <w:rsid w:val="00F7101B"/>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726C-F22B-4D70-899A-B350EFBE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2014-12-04T16:03:00Z</dcterms:created>
  <dcterms:modified xsi:type="dcterms:W3CDTF">2014-12-04T16:03:00Z</dcterms:modified>
</cp:coreProperties>
</file>