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BA" w:rsidRPr="00B54C5F" w:rsidRDefault="00726FBA" w:rsidP="000944AB">
      <w:pPr>
        <w:bidi/>
        <w:spacing w:before="100" w:beforeAutospacing="1" w:after="0" w:line="240" w:lineRule="auto"/>
        <w:ind w:left="284"/>
        <w:jc w:val="both"/>
        <w:rPr>
          <w:rFonts w:ascii="Arial" w:hAnsi="Arial" w:cs="Arial"/>
          <w:b/>
          <w:bCs/>
          <w:rtl/>
          <w:lang w:bidi="ar-TN"/>
        </w:rPr>
      </w:pPr>
    </w:p>
    <w:p w:rsidR="000944AB" w:rsidRPr="00B54C5F" w:rsidRDefault="000944AB" w:rsidP="00726FBA">
      <w:pPr>
        <w:bidi/>
        <w:spacing w:before="100" w:beforeAutospacing="1" w:after="0" w:line="240" w:lineRule="auto"/>
        <w:ind w:left="284"/>
        <w:jc w:val="both"/>
        <w:rPr>
          <w:rFonts w:ascii="Arial" w:hAnsi="Arial" w:cs="Arial"/>
          <w:b/>
          <w:bCs/>
          <w:sz w:val="24"/>
          <w:szCs w:val="24"/>
          <w:rtl/>
          <w:lang w:bidi="ar-TN"/>
        </w:rPr>
      </w:pPr>
      <w:r w:rsidRPr="00B54C5F">
        <w:rPr>
          <w:rFonts w:ascii="Arial" w:hAnsi="Arial" w:cs="Arial"/>
          <w:b/>
          <w:bCs/>
          <w:sz w:val="24"/>
          <w:szCs w:val="24"/>
          <w:rtl/>
          <w:lang w:bidi="ar-TN"/>
        </w:rPr>
        <w:t>أمر عدد 1142 لسنة 2001 مؤرخ في 22 ماي 2001 يتعلق بضبط نظام مصاريف القيام بمأمورية بالخارج الخاص بأعوان الدولة والجماعات المحلية والمؤسسات العمومية ذات الصبغة الإدارية والمؤسسات والمنشآت العمومية وكيفية تحمل النفقات المنجرة عنها وإسناد الامتيازات المخولة بعنوانها</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rtl/>
          <w:lang w:bidi="ar-TN"/>
        </w:rPr>
        <w:t>إن رئيس الجمهورية،</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rtl/>
          <w:lang w:bidi="ar-TN"/>
        </w:rPr>
        <w:t>باقتراح من الوزير الأول،</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rtl/>
          <w:lang w:bidi="ar-TN"/>
        </w:rPr>
        <w:t>بعد الاطلاع على القانون عدد 81 لسنة 1973 المؤرخ في 31 ديسمبر 1973 المتعلق بإصدار مجلة المحاسبة العمومية، وعلى جميع النصوص التي نقحته أو تممته وخاصة القانون عدد 29 لسنة 1999 المؤرخ في 5 أفريل 1999،</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rtl/>
          <w:lang w:bidi="ar-TN"/>
        </w:rPr>
        <w:t>وعلى القانون عدد 18 لسنة 1976 المؤرخ في 21 جانفي 1976 المتعلق بمراجعة وتدوين التشريع الخاص بالصرف وبالتجارة الخارجية والمنظم للعلاقات بين البلاد التونسية والبلدان الأجنبية، كما تم تنقيحه بالقانون عدد 48 لسنة 1993 المؤرخ في 3 ماي 1993،</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rtl/>
          <w:lang w:bidi="ar-TN"/>
        </w:rPr>
        <w:t xml:space="preserve">وعلى القانون عدد 112 لسنة 1983 المؤرخ </w:t>
      </w:r>
      <w:bookmarkStart w:id="0" w:name="_GoBack"/>
      <w:bookmarkEnd w:id="0"/>
      <w:r w:rsidRPr="00B54C5F">
        <w:rPr>
          <w:rFonts w:ascii="Arial" w:hAnsi="Arial" w:cs="Arial"/>
          <w:rtl/>
          <w:lang w:bidi="ar-TN"/>
        </w:rPr>
        <w:t>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القانون عدد 83 لسنة 1997 المؤرخ في 20 ديسمبر 1997،</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rtl/>
          <w:lang w:bidi="ar-TN"/>
        </w:rPr>
        <w:t>وعلى القانون عدد 78 لسنة 1985 المؤرخ في 5 أوت 1985 المتعلق بضبط القانون الأساسي العام لأعوان الدواوين والمؤسسات العمومية ذات الصبغة الصناعية والتجارية والشركات التي تمتلك الدولة والجماعات العمومية المحلية رأس مالها بصفة مباشرة وكليا، كما تم تنقيحه وإتمامه بالقانون عدد 28 لسنة 1999 المؤرخ في 3 أفريل 1999،</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rtl/>
          <w:lang w:bidi="ar-TN"/>
        </w:rPr>
        <w:t>وعلى القانون عدد 9 لسنة 1989 المؤرخ في غرة فيفري 1989 المتعلق بالمساهمات والمنشآت والمؤسسات العمومية، كما تم تنقيحه وإتمامه بالقانون عدد 102 لسنة 1994 المؤرخ في غرة أوت 1994 والقانون عدد 74 لسنة 1996 المؤرخ في 29 جويلية 1996 والقانون عدد 38 لسنة 1999 المؤرخ في 3 ماي 1999،</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rtl/>
          <w:lang w:bidi="ar-TN"/>
        </w:rPr>
        <w:t>وعلى الأمر عدد 608 لسنة 1977 المؤرخ في 27 جويلية 1977 المتعلق بضبط شروط تطبيق القانون عدد 18 لسنة 1976 المؤرخ في 21 جانفي 1976 المتعلق بمراجعة وتدوين التشريع الخاص بالصرف والتجارة الخارجية والمنظم للعلاقات بين البلاد التونسية والبلدان الأجنبية،</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rtl/>
          <w:lang w:bidi="ar-TN"/>
        </w:rPr>
        <w:t>وعلى الأمر عدد 188 لسنة 1988 المؤرخ في 11 فيفري 1988 المتعلق بضبط شروط إسناد الخطط الوظيفية لكاتب عام وزارة ولمدير عام إدارة مركزية ولمدير إدارة مركزية ولكاهية مدير إدارة مركزية ولرئيس مصلحة إدارة مركزية وشروط الإعفاء من هذه الخطط الوظيفية، كما تم إتمامه وتنقيحه بالأمر عدد 1872 لسنة 1998 المؤرخ في 28 سبتمبر 1998،</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rtl/>
          <w:lang w:bidi="ar-TN"/>
        </w:rPr>
        <w:t>وعلى الأمر عدد 2143 لسنة 1990 المؤرخ في 19 ديسمبر 1990 المتعلق بضبط نظام مصاريف القيام بمأمورية بالخارج الخاص بأعوان الدولة والجماعات العمومية المحلية والمؤسسات العمومية ذات الصبغة الإدارية والمنشآت العمومية، كما تم تنقيحه بالأمر عدد 980 لسنة 1993 المؤرخ في 3 ماي 1993 والأمر عدد 2128 لسنة 1997 المؤرخ في 10 نوفمبر 1997،</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rtl/>
          <w:lang w:bidi="ar-TN"/>
        </w:rPr>
        <w:t>وعلى الأمر عدد 1832 لسنة 1997 المؤرخ في 16 سبتمبر 1997 المتعلق بضبط المرتب الأساسي لأعوان الدولة والجماعات العمومية المحلية والمؤسسات العمومية ذات الصبغة الإدارية،</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rtl/>
          <w:lang w:bidi="ar-TN"/>
        </w:rPr>
        <w:t>وعلى رأي وزير المالية،</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rtl/>
          <w:lang w:bidi="ar-TN"/>
        </w:rPr>
        <w:t>وعلى رأي المحكمة الإدارية</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rtl/>
          <w:lang w:bidi="ar-TN"/>
        </w:rPr>
        <w:t>يصدر الأمر الآتي نصه</w:t>
      </w:r>
      <w:r w:rsidRPr="00B54C5F">
        <w:rPr>
          <w:rFonts w:ascii="Arial" w:hAnsi="Arial" w:cs="Arial"/>
          <w:lang w:bidi="ar-TN"/>
        </w:rPr>
        <w:t xml:space="preserve"> :</w:t>
      </w:r>
    </w:p>
    <w:p w:rsidR="000944AB" w:rsidRPr="00B54C5F" w:rsidRDefault="000944AB" w:rsidP="000944AB">
      <w:pPr>
        <w:bidi/>
        <w:spacing w:before="100" w:beforeAutospacing="1" w:after="0" w:line="240" w:lineRule="auto"/>
        <w:ind w:left="284"/>
        <w:jc w:val="both"/>
        <w:rPr>
          <w:rFonts w:ascii="Arial" w:hAnsi="Arial" w:cs="Arial"/>
          <w:lang w:bidi="ar-TN"/>
        </w:rPr>
      </w:pPr>
      <w:r w:rsidRPr="00B54C5F">
        <w:rPr>
          <w:rFonts w:ascii="Arial" w:hAnsi="Arial" w:cs="Arial"/>
          <w:b/>
          <w:bCs/>
          <w:rtl/>
          <w:lang w:bidi="ar-TN"/>
        </w:rPr>
        <w:t>الفصل الأول</w:t>
      </w:r>
      <w:r w:rsidRPr="00B54C5F">
        <w:rPr>
          <w:rFonts w:ascii="Arial" w:hAnsi="Arial" w:cs="Arial"/>
          <w:b/>
          <w:bCs/>
          <w:lang w:bidi="ar-TN"/>
        </w:rPr>
        <w:t xml:space="preserve"> –</w:t>
      </w:r>
      <w:r w:rsidRPr="00B54C5F">
        <w:rPr>
          <w:rFonts w:ascii="Arial" w:hAnsi="Arial" w:cs="Arial"/>
          <w:lang w:bidi="ar-TN"/>
        </w:rPr>
        <w:t xml:space="preserve"> </w:t>
      </w:r>
      <w:r w:rsidRPr="00B54C5F">
        <w:rPr>
          <w:rFonts w:ascii="Arial" w:hAnsi="Arial" w:cs="Arial"/>
          <w:rtl/>
          <w:lang w:bidi="ar-TN"/>
        </w:rPr>
        <w:t xml:space="preserve"> تضبط أحكام هذا الأمر نظام القيام بمأمورية بالخارج وشروط وكيفية إسناد المنحة اليومية بعنوان القيام بمأمورية بالخارج ومختلف الامتيازات المخولة إلى أعوان الدولة والجماعات المحلية والمؤسسات العمومية ذات الصبغة الإدارية والمؤسسات والمنشآت العمومية المدعوين للقيام بمأمورية بالخارج</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lastRenderedPageBreak/>
        <w:t>الفصل</w:t>
      </w:r>
      <w:r w:rsidRPr="00B54C5F">
        <w:rPr>
          <w:rFonts w:ascii="Arial" w:hAnsi="Arial" w:cs="Arial"/>
          <w:b/>
          <w:bCs/>
          <w:rtl/>
          <w:lang w:bidi="ar-TN"/>
        </w:rPr>
        <w:t xml:space="preserve"> 2 –</w:t>
      </w:r>
      <w:r w:rsidRPr="00B54C5F">
        <w:rPr>
          <w:rFonts w:ascii="Arial" w:hAnsi="Arial" w:cs="Arial"/>
          <w:rtl/>
          <w:lang w:bidi="ar-TN"/>
        </w:rPr>
        <w:t xml:space="preserve"> يخضع كل مرة إيفاد الأعوان المشار إليهم أعلاه خارج البلاد للقيام بمأمورية لإذن بمأمورية يتخذ من قبل</w:t>
      </w:r>
      <w:r w:rsidRPr="00B54C5F">
        <w:rPr>
          <w:rFonts w:ascii="Arial" w:hAnsi="Arial" w:cs="Arial"/>
          <w:lang w:bidi="ar-TN"/>
        </w:rPr>
        <w:t xml:space="preserve"> :</w:t>
      </w:r>
    </w:p>
    <w:p w:rsidR="000944AB" w:rsidRPr="00B54C5F" w:rsidRDefault="000944AB" w:rsidP="000944AB">
      <w:pPr>
        <w:pStyle w:val="Paragraphedeliste"/>
        <w:numPr>
          <w:ilvl w:val="0"/>
          <w:numId w:val="19"/>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الوزير الأول باقتراح من الوزير المعني بالنسبة إلى الكتاب العامين للوزارات والخطط المعادلة ومديري ورؤساء الدواوين الوزارية والرؤساء المديرين العامين للمنشآت العمومية والمديرين العامين للمؤسسات العمومية وكذلك بالنسبة إلى الأعوان مهما كانت رتبتهم أو خطتهم المنصوص عليهم بالفصل 8 من هذا الأمر</w:t>
      </w:r>
      <w:r w:rsidRPr="00B54C5F">
        <w:rPr>
          <w:rFonts w:ascii="Arial" w:hAnsi="Arial" w:cs="Arial"/>
          <w:lang w:bidi="ar-TN"/>
        </w:rPr>
        <w:t>.</w:t>
      </w:r>
    </w:p>
    <w:p w:rsidR="000944AB" w:rsidRPr="00B54C5F" w:rsidRDefault="000944AB" w:rsidP="000944AB">
      <w:pPr>
        <w:pStyle w:val="Paragraphedeliste"/>
        <w:numPr>
          <w:ilvl w:val="0"/>
          <w:numId w:val="19"/>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الوزير الذي يمارس سلطة التسلسل أو الإشراف الإداري بالنسبة إلى أعوان الدولة والجماعات المحلية والمؤسسات العمومية ذات الصبغة الإدارية</w:t>
      </w:r>
      <w:r w:rsidRPr="00B54C5F">
        <w:rPr>
          <w:rFonts w:ascii="Arial" w:hAnsi="Arial" w:cs="Arial"/>
          <w:lang w:bidi="ar-TN"/>
        </w:rPr>
        <w:t>.</w:t>
      </w:r>
    </w:p>
    <w:p w:rsidR="000944AB" w:rsidRPr="00B54C5F" w:rsidRDefault="000944AB" w:rsidP="000944AB">
      <w:pPr>
        <w:pStyle w:val="Paragraphedeliste"/>
        <w:numPr>
          <w:ilvl w:val="0"/>
          <w:numId w:val="19"/>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وزير الإشراف بالنسبة إلى أعوان المؤسسات أو المنشآت العمومية، وباقتراح من رؤساء هذه المؤسسات أو المنشآت العمومية</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الفصل</w:t>
      </w:r>
      <w:r w:rsidRPr="00B54C5F">
        <w:rPr>
          <w:rFonts w:ascii="Arial" w:hAnsi="Arial" w:cs="Arial"/>
          <w:b/>
          <w:bCs/>
          <w:rtl/>
          <w:lang w:bidi="ar-TN"/>
        </w:rPr>
        <w:t xml:space="preserve"> 3 –</w:t>
      </w:r>
      <w:r w:rsidRPr="00B54C5F">
        <w:rPr>
          <w:rFonts w:ascii="Arial" w:hAnsi="Arial" w:cs="Arial"/>
          <w:rtl/>
          <w:lang w:bidi="ar-TN"/>
        </w:rPr>
        <w:t xml:space="preserve"> يتم إعداد الإذن للقيام بمأمورية بالخارج لوجهة واحدة أو لعدة وجهات معينة ويتضمن هذا الإذن بيانات بخصوص موضوع المأمورية ومدتها ووسيلة التنقل والهيكل الذي سيتحمل المصاريف المتعلقة بها</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 xml:space="preserve">الفصل </w:t>
      </w:r>
      <w:r w:rsidRPr="00B54C5F">
        <w:rPr>
          <w:rFonts w:ascii="Arial" w:hAnsi="Arial" w:cs="Arial"/>
          <w:b/>
          <w:bCs/>
          <w:rtl/>
          <w:lang w:bidi="ar-TN"/>
        </w:rPr>
        <w:t>4 –</w:t>
      </w:r>
      <w:r w:rsidRPr="00B54C5F">
        <w:rPr>
          <w:rFonts w:ascii="Arial" w:hAnsi="Arial" w:cs="Arial"/>
          <w:rtl/>
          <w:lang w:bidi="ar-TN"/>
        </w:rPr>
        <w:t xml:space="preserve"> عند إيفاد عون للقيام بمأمورية بالخارج تتحمل الإدارة المعنية النفقات الناجمة عن</w:t>
      </w:r>
      <w:r w:rsidRPr="00B54C5F">
        <w:rPr>
          <w:rFonts w:ascii="Arial" w:hAnsi="Arial" w:cs="Arial"/>
          <w:lang w:bidi="ar-TN"/>
        </w:rPr>
        <w:t xml:space="preserve"> :</w:t>
      </w:r>
    </w:p>
    <w:p w:rsidR="000944AB" w:rsidRPr="00B54C5F" w:rsidRDefault="000944AB" w:rsidP="000944AB">
      <w:pPr>
        <w:pStyle w:val="Paragraphedeliste"/>
        <w:numPr>
          <w:ilvl w:val="0"/>
          <w:numId w:val="20"/>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التنقل، طبقا للشروط المنصوص عليها بالفصل 13 من هذا الأمر،</w:t>
      </w:r>
    </w:p>
    <w:p w:rsidR="000944AB" w:rsidRPr="00B54C5F" w:rsidRDefault="000944AB" w:rsidP="000944AB">
      <w:pPr>
        <w:pStyle w:val="Paragraphedeliste"/>
        <w:numPr>
          <w:ilvl w:val="0"/>
          <w:numId w:val="20"/>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المنحة اليومية بعنوان القيام بمأمورية، قصد تغطية مصاريف السكن والأكل والإقامة،</w:t>
      </w:r>
    </w:p>
    <w:p w:rsidR="000944AB" w:rsidRPr="00B54C5F" w:rsidRDefault="000944AB" w:rsidP="000944AB">
      <w:pPr>
        <w:pStyle w:val="Paragraphedeliste"/>
        <w:numPr>
          <w:ilvl w:val="0"/>
          <w:numId w:val="20"/>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التغطية الاجتماعية ضد المخاطر والأمراض التي يمكن أن تصيبه بالخارج،</w:t>
      </w:r>
    </w:p>
    <w:p w:rsidR="000944AB" w:rsidRPr="00B54C5F" w:rsidRDefault="000944AB" w:rsidP="000944AB">
      <w:pPr>
        <w:pStyle w:val="Paragraphedeliste"/>
        <w:numPr>
          <w:ilvl w:val="0"/>
          <w:numId w:val="20"/>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وعند الاقتضاء الآداءات والرسوم المتعلقة باستلام التأشيرة وبمصاريف التلاقيح الإجبارية، وبالأداءات الموظفة على المسافرين في بعض المطارات وبمصاريف الترسيم في الملتقيات والمؤتمرات أو التظاهرات التي تستلزم ذلك</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الفصل</w:t>
      </w:r>
      <w:r w:rsidRPr="00B54C5F">
        <w:rPr>
          <w:rFonts w:ascii="Arial" w:hAnsi="Arial" w:cs="Arial"/>
          <w:b/>
          <w:bCs/>
          <w:rtl/>
          <w:lang w:bidi="ar-TN"/>
        </w:rPr>
        <w:t xml:space="preserve"> 5 –</w:t>
      </w:r>
      <w:r w:rsidRPr="00B54C5F">
        <w:rPr>
          <w:rFonts w:ascii="Arial" w:hAnsi="Arial" w:cs="Arial"/>
          <w:rtl/>
          <w:lang w:bidi="ar-TN"/>
        </w:rPr>
        <w:t xml:space="preserve"> قصد الانتفاع بالمنحة اليومية بعنوان القيام بمأمورية بالخارج المنصوص عليها بالفصل 7 من هذا الأمر، يتم تصنيف أعوان الدولة والجماعات المحلية والمؤسسات العمومية ذات الصبغة الإدارية على النحو التالي</w:t>
      </w:r>
      <w:r w:rsidRPr="00B54C5F">
        <w:rPr>
          <w:rFonts w:ascii="Arial" w:hAnsi="Arial" w:cs="Arial"/>
          <w:lang w:bidi="ar-TN"/>
        </w:rPr>
        <w:t xml:space="preserve"> :</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مجموعة "أ" :</w:t>
      </w:r>
      <w:r w:rsidRPr="00B54C5F">
        <w:rPr>
          <w:rFonts w:ascii="Arial" w:hAnsi="Arial" w:cs="Arial"/>
          <w:rtl/>
          <w:lang w:bidi="ar-TN"/>
        </w:rPr>
        <w:t xml:space="preserve"> الأعوان المكلفون بخطة وظيفية أو الأعوان الذين لهم مرتب أساسي شهري مطابق على الأقل لمستويات التأجير التالية من شبكة الأجور</w:t>
      </w:r>
      <w:r w:rsidRPr="00B54C5F">
        <w:rPr>
          <w:rFonts w:ascii="Arial" w:hAnsi="Arial" w:cs="Arial"/>
          <w:lang w:bidi="ar-TN"/>
        </w:rPr>
        <w:t xml:space="preserve"> :</w:t>
      </w:r>
    </w:p>
    <w:p w:rsidR="000944AB" w:rsidRPr="00B54C5F" w:rsidRDefault="000944AB" w:rsidP="000944AB">
      <w:pPr>
        <w:pStyle w:val="Paragraphedeliste"/>
        <w:numPr>
          <w:ilvl w:val="0"/>
          <w:numId w:val="21"/>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مستوى التأجير السادس بالنسبة إلى الأعوان المنتمين إلى الصنف الفرعي "أ1</w:t>
      </w:r>
      <w:r w:rsidRPr="00B54C5F">
        <w:rPr>
          <w:rFonts w:ascii="Arial" w:hAnsi="Arial" w:cs="Arial"/>
          <w:lang w:bidi="ar-TN"/>
        </w:rPr>
        <w:t>"</w:t>
      </w:r>
      <w:r w:rsidRPr="00B54C5F">
        <w:rPr>
          <w:rFonts w:ascii="Arial" w:hAnsi="Arial" w:cs="Arial"/>
          <w:rtl/>
          <w:lang w:bidi="ar-TN"/>
        </w:rPr>
        <w:t>،</w:t>
      </w:r>
    </w:p>
    <w:p w:rsidR="000944AB" w:rsidRPr="00B54C5F" w:rsidRDefault="000944AB" w:rsidP="000944AB">
      <w:pPr>
        <w:pStyle w:val="Paragraphedeliste"/>
        <w:numPr>
          <w:ilvl w:val="0"/>
          <w:numId w:val="21"/>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مستوى التأجير العاشر بالنسبة إلى الأعوان المنتمين إلى الصنف الفرعي "أ2</w:t>
      </w:r>
      <w:r w:rsidRPr="00B54C5F">
        <w:rPr>
          <w:rFonts w:ascii="Arial" w:hAnsi="Arial" w:cs="Arial"/>
          <w:lang w:bidi="ar-TN"/>
        </w:rPr>
        <w:t>".</w:t>
      </w:r>
    </w:p>
    <w:p w:rsidR="000944AB" w:rsidRPr="00B54C5F" w:rsidRDefault="000944AB" w:rsidP="00726FBA">
      <w:pPr>
        <w:bidi/>
        <w:spacing w:before="100" w:beforeAutospacing="1" w:after="0" w:line="240" w:lineRule="auto"/>
        <w:ind w:left="283"/>
        <w:jc w:val="both"/>
        <w:rPr>
          <w:rFonts w:ascii="Arial" w:hAnsi="Arial" w:cs="Arial"/>
          <w:lang w:bidi="ar-TN"/>
        </w:rPr>
      </w:pPr>
      <w:r w:rsidRPr="00B54C5F">
        <w:rPr>
          <w:rFonts w:ascii="Arial" w:hAnsi="Arial" w:cs="Arial"/>
          <w:b/>
          <w:bCs/>
          <w:rtl/>
          <w:lang w:bidi="ar-TN"/>
        </w:rPr>
        <w:t>مجموعة "ب"</w:t>
      </w:r>
      <w:r w:rsidRPr="00B54C5F">
        <w:rPr>
          <w:rFonts w:ascii="Arial" w:hAnsi="Arial" w:cs="Arial"/>
          <w:rtl/>
          <w:lang w:bidi="ar-TN"/>
        </w:rPr>
        <w:t xml:space="preserve"> : الأعوان الذين لهم مرتب أساسي شهري مطابق لمستويات التأجير التالية من شبكة الأجور</w:t>
      </w:r>
      <w:r w:rsidRPr="00B54C5F">
        <w:rPr>
          <w:rFonts w:ascii="Arial" w:hAnsi="Arial" w:cs="Arial"/>
          <w:lang w:bidi="ar-TN"/>
        </w:rPr>
        <w:t xml:space="preserve"> :</w:t>
      </w:r>
    </w:p>
    <w:p w:rsidR="000944AB" w:rsidRPr="00B54C5F" w:rsidRDefault="000944AB" w:rsidP="000944AB">
      <w:pPr>
        <w:pStyle w:val="Paragraphedeliste"/>
        <w:numPr>
          <w:ilvl w:val="0"/>
          <w:numId w:val="21"/>
        </w:numPr>
        <w:bidi/>
        <w:spacing w:before="100" w:beforeAutospacing="1" w:after="0" w:line="240" w:lineRule="auto"/>
        <w:ind w:left="927"/>
        <w:jc w:val="both"/>
        <w:rPr>
          <w:rFonts w:ascii="Arial" w:hAnsi="Arial" w:cs="Arial"/>
          <w:lang w:bidi="ar-TN"/>
        </w:rPr>
      </w:pPr>
      <w:r w:rsidRPr="00B54C5F">
        <w:rPr>
          <w:rFonts w:ascii="Arial" w:hAnsi="Arial" w:cs="Arial"/>
          <w:rtl/>
          <w:lang w:bidi="ar-TN"/>
        </w:rPr>
        <w:t>من المستوى الأول إلى المستوى الخامس بالنسبة إلى الأعوان المنتمين إلى الصنف الفرعي "أ1</w:t>
      </w:r>
      <w:r w:rsidRPr="00B54C5F">
        <w:rPr>
          <w:rFonts w:ascii="Arial" w:hAnsi="Arial" w:cs="Arial"/>
          <w:lang w:bidi="ar-TN"/>
        </w:rPr>
        <w:t>"</w:t>
      </w:r>
      <w:r w:rsidRPr="00B54C5F">
        <w:rPr>
          <w:rFonts w:ascii="Arial" w:hAnsi="Arial" w:cs="Arial"/>
          <w:rtl/>
          <w:lang w:bidi="ar-TN"/>
        </w:rPr>
        <w:t>،</w:t>
      </w:r>
    </w:p>
    <w:p w:rsidR="000944AB" w:rsidRPr="00B54C5F" w:rsidRDefault="000944AB" w:rsidP="000944AB">
      <w:pPr>
        <w:pStyle w:val="Paragraphedeliste"/>
        <w:numPr>
          <w:ilvl w:val="0"/>
          <w:numId w:val="21"/>
        </w:numPr>
        <w:bidi/>
        <w:spacing w:before="100" w:beforeAutospacing="1" w:after="0" w:line="240" w:lineRule="auto"/>
        <w:ind w:left="927"/>
        <w:jc w:val="both"/>
        <w:rPr>
          <w:rFonts w:ascii="Arial" w:hAnsi="Arial" w:cs="Arial"/>
          <w:lang w:bidi="ar-TN"/>
        </w:rPr>
      </w:pPr>
      <w:r w:rsidRPr="00B54C5F">
        <w:rPr>
          <w:rFonts w:ascii="Arial" w:hAnsi="Arial" w:cs="Arial"/>
          <w:rtl/>
          <w:lang w:bidi="ar-TN"/>
        </w:rPr>
        <w:t>من المستوى الثالث إلى المستوى التاسع بالنسبة إلى الأعوان المنتمين إلى الصنف الفرعي "أ2</w:t>
      </w:r>
      <w:r w:rsidRPr="00B54C5F">
        <w:rPr>
          <w:rFonts w:ascii="Arial" w:hAnsi="Arial" w:cs="Arial"/>
          <w:lang w:bidi="ar-TN"/>
        </w:rPr>
        <w:t>"</w:t>
      </w:r>
      <w:r w:rsidRPr="00B54C5F">
        <w:rPr>
          <w:rFonts w:ascii="Arial" w:hAnsi="Arial" w:cs="Arial"/>
          <w:rtl/>
          <w:lang w:bidi="ar-TN"/>
        </w:rPr>
        <w:t>،</w:t>
      </w:r>
    </w:p>
    <w:p w:rsidR="000944AB" w:rsidRPr="00B54C5F" w:rsidRDefault="000944AB" w:rsidP="000944AB">
      <w:pPr>
        <w:pStyle w:val="Paragraphedeliste"/>
        <w:numPr>
          <w:ilvl w:val="0"/>
          <w:numId w:val="21"/>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بداية من المستوى السابع بالنسبة إلى الأعوان المنتمين إلى الصنف الفرعي "أ3</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مجموعة "ج"</w:t>
      </w:r>
      <w:r w:rsidRPr="00B54C5F">
        <w:rPr>
          <w:rFonts w:ascii="Arial" w:hAnsi="Arial" w:cs="Arial"/>
          <w:rtl/>
          <w:lang w:bidi="ar-TN"/>
        </w:rPr>
        <w:t xml:space="preserve"> : الأعوان الذين لهم مرتب أساسي شهري مطابق لمستويات التأجير التالية من شبكة الأجور</w:t>
      </w:r>
      <w:r w:rsidRPr="00B54C5F">
        <w:rPr>
          <w:rFonts w:ascii="Arial" w:hAnsi="Arial" w:cs="Arial"/>
          <w:lang w:bidi="ar-TN"/>
        </w:rPr>
        <w:t xml:space="preserve"> :</w:t>
      </w:r>
    </w:p>
    <w:p w:rsidR="000944AB" w:rsidRPr="00B54C5F" w:rsidRDefault="000944AB" w:rsidP="000944AB">
      <w:pPr>
        <w:pStyle w:val="Paragraphedeliste"/>
        <w:numPr>
          <w:ilvl w:val="0"/>
          <w:numId w:val="22"/>
        </w:numPr>
        <w:bidi/>
        <w:spacing w:before="100" w:beforeAutospacing="1" w:after="0" w:line="240" w:lineRule="auto"/>
        <w:ind w:left="927"/>
        <w:jc w:val="both"/>
        <w:rPr>
          <w:rFonts w:ascii="Arial" w:hAnsi="Arial" w:cs="Arial"/>
          <w:lang w:bidi="ar-TN"/>
        </w:rPr>
      </w:pPr>
      <w:r w:rsidRPr="00B54C5F">
        <w:rPr>
          <w:rFonts w:ascii="Arial" w:hAnsi="Arial" w:cs="Arial"/>
          <w:rtl/>
          <w:lang w:bidi="ar-TN"/>
        </w:rPr>
        <w:t>المستويين الأول والثاني بالنسبة إلى الأعوان المنتمين إلى الصنف الفرعي "أ2</w:t>
      </w:r>
      <w:r w:rsidRPr="00B54C5F">
        <w:rPr>
          <w:rFonts w:ascii="Arial" w:hAnsi="Arial" w:cs="Arial"/>
          <w:lang w:bidi="ar-TN"/>
        </w:rPr>
        <w:t>"</w:t>
      </w:r>
      <w:r w:rsidRPr="00B54C5F">
        <w:rPr>
          <w:rFonts w:ascii="Arial" w:hAnsi="Arial" w:cs="Arial"/>
          <w:rtl/>
          <w:lang w:bidi="ar-TN"/>
        </w:rPr>
        <w:t>،</w:t>
      </w:r>
    </w:p>
    <w:p w:rsidR="000944AB" w:rsidRPr="00B54C5F" w:rsidRDefault="000944AB" w:rsidP="000944AB">
      <w:pPr>
        <w:pStyle w:val="Paragraphedeliste"/>
        <w:numPr>
          <w:ilvl w:val="0"/>
          <w:numId w:val="22"/>
        </w:numPr>
        <w:bidi/>
        <w:spacing w:before="100" w:beforeAutospacing="1" w:after="0" w:line="240" w:lineRule="auto"/>
        <w:ind w:left="927"/>
        <w:jc w:val="both"/>
        <w:rPr>
          <w:rFonts w:ascii="Arial" w:hAnsi="Arial" w:cs="Arial"/>
          <w:lang w:bidi="ar-TN"/>
        </w:rPr>
      </w:pPr>
      <w:r w:rsidRPr="00B54C5F">
        <w:rPr>
          <w:rFonts w:ascii="Arial" w:hAnsi="Arial" w:cs="Arial"/>
          <w:rtl/>
          <w:lang w:bidi="ar-TN"/>
        </w:rPr>
        <w:t>من المستوى الأول إلى المستوى السادس بالنسبة إلى الأعوان المنتمين إلى الصنف الفرعي "أ3</w:t>
      </w:r>
      <w:r w:rsidRPr="00B54C5F">
        <w:rPr>
          <w:rFonts w:ascii="Arial" w:hAnsi="Arial" w:cs="Arial"/>
          <w:lang w:bidi="ar-TN"/>
        </w:rPr>
        <w:t>"</w:t>
      </w:r>
      <w:r w:rsidRPr="00B54C5F">
        <w:rPr>
          <w:rFonts w:ascii="Arial" w:hAnsi="Arial" w:cs="Arial"/>
          <w:rtl/>
          <w:lang w:bidi="ar-TN"/>
        </w:rPr>
        <w:t>،</w:t>
      </w:r>
    </w:p>
    <w:p w:rsidR="000944AB" w:rsidRPr="00B54C5F" w:rsidRDefault="000944AB" w:rsidP="000944AB">
      <w:pPr>
        <w:pStyle w:val="Paragraphedeliste"/>
        <w:numPr>
          <w:ilvl w:val="0"/>
          <w:numId w:val="22"/>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ك</w:t>
      </w:r>
      <w:r w:rsidRPr="00B54C5F">
        <w:rPr>
          <w:rFonts w:ascii="Arial" w:hAnsi="Arial" w:cs="Arial"/>
          <w:rtl/>
          <w:lang w:bidi="ar-TN"/>
        </w:rPr>
        <w:t>ل مستويات التأجير بالنسبة إلى الأعوان المنتمين إلى الأصناف "ب" و "ج" و "د" وبالنسبة إلى العملة</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الفصل</w:t>
      </w:r>
      <w:r w:rsidRPr="00B54C5F">
        <w:rPr>
          <w:rFonts w:ascii="Arial" w:hAnsi="Arial" w:cs="Arial"/>
          <w:b/>
          <w:bCs/>
          <w:rtl/>
          <w:lang w:bidi="ar-TN"/>
        </w:rPr>
        <w:t xml:space="preserve"> 6</w:t>
      </w:r>
      <w:r w:rsidRPr="00B54C5F">
        <w:rPr>
          <w:rFonts w:ascii="Arial" w:hAnsi="Arial" w:cs="Arial"/>
          <w:rtl/>
          <w:lang w:bidi="ar-TN"/>
        </w:rPr>
        <w:t xml:space="preserve"> – </w:t>
      </w:r>
      <w:r w:rsidRPr="00B54C5F">
        <w:rPr>
          <w:rFonts w:ascii="Arial" w:hAnsi="Arial" w:cs="Arial"/>
          <w:rtl/>
          <w:lang w:bidi="ar-TN"/>
        </w:rPr>
        <w:t>لغاية الانتفاع بالمنحة اليومية بعنوان القيام بمأمورية بالخارج المنصوص عليها بالفصل 7 من هذا الأمر يتم تصنيف أعوان المؤسسات والمنشآت العمومية على النحو التالي</w:t>
      </w:r>
      <w:r w:rsidRPr="00B54C5F">
        <w:rPr>
          <w:rFonts w:ascii="Arial" w:hAnsi="Arial" w:cs="Arial"/>
          <w:lang w:bidi="ar-TN"/>
        </w:rPr>
        <w:t xml:space="preserve"> :</w:t>
      </w:r>
    </w:p>
    <w:p w:rsidR="000944AB" w:rsidRPr="00B54C5F" w:rsidRDefault="000944AB" w:rsidP="000944AB">
      <w:pPr>
        <w:pStyle w:val="Paragraphedeliste"/>
        <w:numPr>
          <w:ilvl w:val="0"/>
          <w:numId w:val="24"/>
        </w:numPr>
        <w:bidi/>
        <w:spacing w:before="100" w:beforeAutospacing="1" w:after="0" w:line="240" w:lineRule="auto"/>
        <w:ind w:left="927"/>
        <w:jc w:val="both"/>
        <w:rPr>
          <w:rFonts w:ascii="Arial" w:hAnsi="Arial" w:cs="Arial"/>
          <w:lang w:bidi="ar-TN"/>
        </w:rPr>
      </w:pPr>
      <w:r w:rsidRPr="00B54C5F">
        <w:rPr>
          <w:rFonts w:ascii="Arial" w:hAnsi="Arial" w:cs="Arial"/>
          <w:rtl/>
          <w:lang w:bidi="ar-TN"/>
        </w:rPr>
        <w:t>مجموعة "أ" : إطار سام له خطة وظيفية،</w:t>
      </w:r>
    </w:p>
    <w:p w:rsidR="000944AB" w:rsidRPr="00B54C5F" w:rsidRDefault="000944AB" w:rsidP="000944AB">
      <w:pPr>
        <w:pStyle w:val="Paragraphedeliste"/>
        <w:numPr>
          <w:ilvl w:val="0"/>
          <w:numId w:val="24"/>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مجموعة "ب" : إطار وعون تحكم،</w:t>
      </w:r>
    </w:p>
    <w:p w:rsidR="000944AB" w:rsidRPr="00B54C5F" w:rsidRDefault="000944AB" w:rsidP="000944AB">
      <w:pPr>
        <w:pStyle w:val="Paragraphedeliste"/>
        <w:numPr>
          <w:ilvl w:val="0"/>
          <w:numId w:val="24"/>
        </w:numPr>
        <w:bidi/>
        <w:spacing w:before="100" w:beforeAutospacing="1" w:after="0" w:line="240" w:lineRule="auto"/>
        <w:ind w:left="927"/>
        <w:jc w:val="both"/>
        <w:rPr>
          <w:rFonts w:ascii="Arial" w:hAnsi="Arial" w:cs="Arial"/>
          <w:rtl/>
          <w:lang w:bidi="ar-TN"/>
        </w:rPr>
      </w:pPr>
      <w:r w:rsidRPr="00B54C5F">
        <w:rPr>
          <w:rFonts w:ascii="Arial" w:hAnsi="Arial" w:cs="Arial"/>
          <w:rtl/>
          <w:lang w:bidi="ar-TN"/>
        </w:rPr>
        <w:t>مجموعة "ج" : عون تنفيذ</w:t>
      </w:r>
      <w:r w:rsidRPr="00B54C5F">
        <w:rPr>
          <w:rFonts w:ascii="Arial" w:hAnsi="Arial" w:cs="Arial"/>
          <w:lang w:bidi="ar-TN"/>
        </w:rPr>
        <w:t>.</w:t>
      </w:r>
    </w:p>
    <w:p w:rsidR="00B54C5F" w:rsidRPr="00B54C5F" w:rsidRDefault="00B54C5F" w:rsidP="00B54C5F">
      <w:pPr>
        <w:bidi/>
        <w:spacing w:before="100" w:beforeAutospacing="1" w:after="0" w:line="240" w:lineRule="auto"/>
        <w:ind w:left="284"/>
        <w:jc w:val="both"/>
        <w:rPr>
          <w:rFonts w:ascii="Arial" w:hAnsi="Arial" w:cs="Arial"/>
          <w:rtl/>
        </w:rPr>
      </w:pPr>
      <w:r w:rsidRPr="00B54C5F">
        <w:rPr>
          <w:rFonts w:ascii="Arial" w:hAnsi="Arial" w:cs="Arial" w:hint="cs"/>
          <w:b/>
          <w:bCs/>
          <w:rtl/>
        </w:rPr>
        <w:t>الفصل</w:t>
      </w:r>
      <w:r w:rsidRPr="00B54C5F">
        <w:rPr>
          <w:rFonts w:ascii="Arial" w:hAnsi="Arial" w:cs="Arial"/>
          <w:b/>
          <w:bCs/>
          <w:rtl/>
        </w:rPr>
        <w:t xml:space="preserve"> 7 (</w:t>
      </w:r>
      <w:r w:rsidRPr="00B54C5F">
        <w:rPr>
          <w:rFonts w:ascii="Arial" w:hAnsi="Arial" w:cs="Arial" w:hint="cs"/>
          <w:b/>
          <w:bCs/>
          <w:rtl/>
        </w:rPr>
        <w:t>جديد</w:t>
      </w:r>
      <w:r w:rsidRPr="00B54C5F">
        <w:rPr>
          <w:rFonts w:ascii="Arial" w:hAnsi="Arial" w:cs="Arial"/>
          <w:b/>
          <w:bCs/>
          <w:rtl/>
        </w:rPr>
        <w:t>)</w:t>
      </w:r>
      <w:r w:rsidRPr="00B54C5F">
        <w:rPr>
          <w:rFonts w:ascii="Arial" w:hAnsi="Arial" w:cs="Arial" w:hint="cs"/>
          <w:b/>
          <w:bCs/>
          <w:rtl/>
        </w:rPr>
        <w:t xml:space="preserve"> </w:t>
      </w:r>
      <w:r w:rsidRPr="00B54C5F">
        <w:rPr>
          <w:rFonts w:ascii="Arial" w:hAnsi="Arial" w:cs="Arial"/>
          <w:b/>
          <w:bCs/>
          <w:rtl/>
        </w:rPr>
        <w:t>–</w:t>
      </w:r>
      <w:r w:rsidRPr="00B54C5F">
        <w:rPr>
          <w:rFonts w:ascii="Arial" w:hAnsi="Arial" w:cs="Arial" w:hint="cs"/>
          <w:b/>
          <w:bCs/>
          <w:rtl/>
        </w:rPr>
        <w:t xml:space="preserve"> أضيف </w:t>
      </w:r>
      <w:r w:rsidRPr="00B54C5F">
        <w:rPr>
          <w:rFonts w:ascii="Arial" w:hAnsi="Arial" w:cs="Arial" w:hint="cs"/>
          <w:b/>
          <w:bCs/>
          <w:rtl/>
        </w:rPr>
        <w:t xml:space="preserve"> </w:t>
      </w:r>
      <w:r w:rsidRPr="00B54C5F">
        <w:rPr>
          <w:rFonts w:ascii="Arial" w:hAnsi="Arial" w:cs="Arial" w:hint="cs"/>
          <w:b/>
          <w:bCs/>
          <w:rtl/>
        </w:rPr>
        <w:t>بمقتضى الأمر</w:t>
      </w:r>
      <w:r w:rsidRPr="00B54C5F">
        <w:rPr>
          <w:rFonts w:ascii="Arial" w:hAnsi="Arial" w:cs="Arial"/>
          <w:b/>
          <w:bCs/>
          <w:rtl/>
        </w:rPr>
        <w:t xml:space="preserve"> </w:t>
      </w:r>
      <w:r w:rsidRPr="00B54C5F">
        <w:rPr>
          <w:rFonts w:ascii="Arial" w:hAnsi="Arial" w:cs="Arial" w:hint="cs"/>
          <w:b/>
          <w:bCs/>
          <w:rtl/>
        </w:rPr>
        <w:t>عدد</w:t>
      </w:r>
      <w:r w:rsidRPr="00B54C5F">
        <w:rPr>
          <w:rFonts w:ascii="Arial" w:hAnsi="Arial" w:cs="Arial"/>
          <w:b/>
          <w:bCs/>
          <w:rtl/>
        </w:rPr>
        <w:t xml:space="preserve"> 1733 </w:t>
      </w:r>
      <w:r w:rsidRPr="00B54C5F">
        <w:rPr>
          <w:rFonts w:ascii="Arial" w:hAnsi="Arial" w:cs="Arial" w:hint="cs"/>
          <w:b/>
          <w:bCs/>
          <w:rtl/>
        </w:rPr>
        <w:t>لسنة</w:t>
      </w:r>
      <w:r w:rsidRPr="00B54C5F">
        <w:rPr>
          <w:rFonts w:ascii="Arial" w:hAnsi="Arial" w:cs="Arial"/>
          <w:b/>
          <w:bCs/>
          <w:rtl/>
        </w:rPr>
        <w:t xml:space="preserve"> 2005 </w:t>
      </w:r>
      <w:r w:rsidRPr="00B54C5F">
        <w:rPr>
          <w:rFonts w:ascii="Arial" w:hAnsi="Arial" w:cs="Arial" w:hint="cs"/>
          <w:b/>
          <w:bCs/>
          <w:rtl/>
        </w:rPr>
        <w:t>ال</w:t>
      </w:r>
      <w:r w:rsidRPr="00B54C5F">
        <w:rPr>
          <w:rFonts w:ascii="Arial" w:hAnsi="Arial" w:cs="Arial" w:hint="cs"/>
          <w:b/>
          <w:bCs/>
          <w:rtl/>
        </w:rPr>
        <w:t>مؤرخ</w:t>
      </w:r>
      <w:r w:rsidRPr="00B54C5F">
        <w:rPr>
          <w:rFonts w:ascii="Arial" w:hAnsi="Arial" w:cs="Arial"/>
          <w:b/>
          <w:bCs/>
          <w:rtl/>
        </w:rPr>
        <w:t xml:space="preserve"> </w:t>
      </w:r>
      <w:r w:rsidRPr="00B54C5F">
        <w:rPr>
          <w:rFonts w:ascii="Arial" w:hAnsi="Arial" w:cs="Arial" w:hint="cs"/>
          <w:b/>
          <w:bCs/>
          <w:rtl/>
        </w:rPr>
        <w:t>في</w:t>
      </w:r>
      <w:r w:rsidRPr="00B54C5F">
        <w:rPr>
          <w:rFonts w:ascii="Arial" w:hAnsi="Arial" w:cs="Arial"/>
          <w:b/>
          <w:bCs/>
          <w:rtl/>
        </w:rPr>
        <w:t xml:space="preserve"> 13 </w:t>
      </w:r>
      <w:r w:rsidRPr="00B54C5F">
        <w:rPr>
          <w:rFonts w:ascii="Arial" w:hAnsi="Arial" w:cs="Arial" w:hint="cs"/>
          <w:b/>
          <w:bCs/>
          <w:rtl/>
        </w:rPr>
        <w:t>جوان</w:t>
      </w:r>
      <w:r w:rsidRPr="00B54C5F">
        <w:rPr>
          <w:rFonts w:ascii="Arial" w:hAnsi="Arial" w:cs="Arial"/>
          <w:b/>
          <w:bCs/>
        </w:rPr>
        <w:t xml:space="preserve"> – </w:t>
      </w:r>
      <w:r w:rsidRPr="00B54C5F">
        <w:rPr>
          <w:rFonts w:ascii="Arial" w:hAnsi="Arial" w:cs="Arial" w:hint="cs"/>
          <w:rtl/>
        </w:rPr>
        <w:t>يضبط</w:t>
      </w:r>
      <w:r w:rsidRPr="00B54C5F">
        <w:rPr>
          <w:rFonts w:ascii="Arial" w:hAnsi="Arial" w:cs="Arial"/>
          <w:rtl/>
        </w:rPr>
        <w:t xml:space="preserve"> </w:t>
      </w:r>
      <w:r w:rsidRPr="00B54C5F">
        <w:rPr>
          <w:rFonts w:ascii="Arial" w:hAnsi="Arial" w:cs="Arial" w:hint="cs"/>
          <w:rtl/>
        </w:rPr>
        <w:t>مقدار</w:t>
      </w:r>
      <w:r w:rsidRPr="00B54C5F">
        <w:rPr>
          <w:rFonts w:ascii="Arial" w:hAnsi="Arial" w:cs="Arial"/>
          <w:rtl/>
        </w:rPr>
        <w:t xml:space="preserve"> </w:t>
      </w:r>
      <w:r w:rsidRPr="00B54C5F">
        <w:rPr>
          <w:rFonts w:ascii="Arial" w:hAnsi="Arial" w:cs="Arial" w:hint="cs"/>
          <w:rtl/>
        </w:rPr>
        <w:t>المنحة</w:t>
      </w:r>
      <w:r w:rsidRPr="00B54C5F">
        <w:rPr>
          <w:rFonts w:ascii="Arial" w:hAnsi="Arial" w:cs="Arial"/>
          <w:rtl/>
        </w:rPr>
        <w:t xml:space="preserve"> </w:t>
      </w:r>
      <w:r w:rsidRPr="00B54C5F">
        <w:rPr>
          <w:rFonts w:ascii="Arial" w:hAnsi="Arial" w:cs="Arial" w:hint="cs"/>
          <w:rtl/>
        </w:rPr>
        <w:t>اليومية</w:t>
      </w:r>
      <w:r w:rsidRPr="00B54C5F">
        <w:rPr>
          <w:rFonts w:ascii="Arial" w:hAnsi="Arial" w:cs="Arial"/>
          <w:rtl/>
        </w:rPr>
        <w:t xml:space="preserve"> </w:t>
      </w:r>
      <w:r w:rsidRPr="00B54C5F">
        <w:rPr>
          <w:rFonts w:ascii="Arial" w:hAnsi="Arial" w:cs="Arial" w:hint="cs"/>
          <w:rtl/>
        </w:rPr>
        <w:t>بعنوان</w:t>
      </w:r>
      <w:r w:rsidRPr="00B54C5F">
        <w:rPr>
          <w:rFonts w:ascii="Arial" w:hAnsi="Arial" w:cs="Arial"/>
          <w:rtl/>
        </w:rPr>
        <w:t xml:space="preserve"> </w:t>
      </w:r>
      <w:r w:rsidRPr="00B54C5F">
        <w:rPr>
          <w:rFonts w:ascii="Arial" w:hAnsi="Arial" w:cs="Arial" w:hint="cs"/>
          <w:rtl/>
        </w:rPr>
        <w:t>القيام</w:t>
      </w:r>
      <w:r w:rsidRPr="00B54C5F">
        <w:rPr>
          <w:rFonts w:ascii="Arial" w:hAnsi="Arial" w:cs="Arial"/>
          <w:rtl/>
        </w:rPr>
        <w:t xml:space="preserve"> </w:t>
      </w:r>
      <w:r w:rsidRPr="00B54C5F">
        <w:rPr>
          <w:rFonts w:ascii="Arial" w:hAnsi="Arial" w:cs="Arial" w:hint="cs"/>
          <w:rtl/>
        </w:rPr>
        <w:t>بمأمورية</w:t>
      </w:r>
      <w:r w:rsidRPr="00B54C5F">
        <w:rPr>
          <w:rFonts w:ascii="Arial" w:hAnsi="Arial" w:cs="Arial"/>
          <w:rtl/>
        </w:rPr>
        <w:t xml:space="preserve"> </w:t>
      </w:r>
      <w:r w:rsidRPr="00B54C5F">
        <w:rPr>
          <w:rFonts w:ascii="Arial" w:hAnsi="Arial" w:cs="Arial" w:hint="cs"/>
          <w:rtl/>
        </w:rPr>
        <w:t>بالخارج</w:t>
      </w:r>
      <w:r w:rsidRPr="00B54C5F">
        <w:rPr>
          <w:rFonts w:ascii="Arial" w:hAnsi="Arial" w:cs="Arial"/>
          <w:rtl/>
        </w:rPr>
        <w:t xml:space="preserve"> </w:t>
      </w:r>
      <w:r w:rsidRPr="00B54C5F">
        <w:rPr>
          <w:rFonts w:ascii="Arial" w:hAnsi="Arial" w:cs="Arial" w:hint="cs"/>
          <w:rtl/>
        </w:rPr>
        <w:t>طبقا</w:t>
      </w:r>
      <w:r w:rsidRPr="00B54C5F">
        <w:rPr>
          <w:rFonts w:ascii="Arial" w:hAnsi="Arial" w:cs="Arial"/>
          <w:rtl/>
        </w:rPr>
        <w:t xml:space="preserve"> </w:t>
      </w:r>
      <w:r w:rsidRPr="00B54C5F">
        <w:rPr>
          <w:rFonts w:ascii="Arial" w:hAnsi="Arial" w:cs="Arial" w:hint="cs"/>
          <w:rtl/>
        </w:rPr>
        <w:t>لبيانات</w:t>
      </w:r>
      <w:r w:rsidRPr="00B54C5F">
        <w:rPr>
          <w:rFonts w:ascii="Arial" w:hAnsi="Arial" w:cs="Arial"/>
          <w:rtl/>
        </w:rPr>
        <w:t xml:space="preserve"> </w:t>
      </w:r>
      <w:r w:rsidRPr="00B54C5F">
        <w:rPr>
          <w:rFonts w:ascii="Arial" w:hAnsi="Arial" w:cs="Arial" w:hint="cs"/>
          <w:rtl/>
        </w:rPr>
        <w:t>الجدول</w:t>
      </w:r>
      <w:r w:rsidRPr="00B54C5F">
        <w:rPr>
          <w:rFonts w:ascii="Arial" w:hAnsi="Arial" w:cs="Arial"/>
          <w:rtl/>
        </w:rPr>
        <w:t xml:space="preserve"> </w:t>
      </w:r>
      <w:r w:rsidRPr="00B54C5F">
        <w:rPr>
          <w:rFonts w:ascii="Arial" w:hAnsi="Arial" w:cs="Arial" w:hint="cs"/>
          <w:rtl/>
        </w:rPr>
        <w:t>التالي</w:t>
      </w:r>
      <w:r w:rsidRPr="00B54C5F">
        <w:rPr>
          <w:rFonts w:ascii="Arial" w:hAnsi="Arial" w:cs="Arial"/>
        </w:rPr>
        <w:t xml:space="preserve"> :</w:t>
      </w:r>
    </w:p>
    <w:tbl>
      <w:tblPr>
        <w:tblStyle w:val="Grilledutableau"/>
        <w:bidiVisual/>
        <w:tblW w:w="0" w:type="auto"/>
        <w:tblInd w:w="543" w:type="dxa"/>
        <w:tblLook w:val="04A0" w:firstRow="1" w:lastRow="0" w:firstColumn="1" w:lastColumn="0" w:noHBand="0" w:noVBand="1"/>
      </w:tblPr>
      <w:tblGrid>
        <w:gridCol w:w="3969"/>
        <w:gridCol w:w="3969"/>
      </w:tblGrid>
      <w:tr w:rsidR="00B54C5F" w:rsidRPr="00B54C5F" w:rsidTr="00BF71D2">
        <w:tc>
          <w:tcPr>
            <w:tcW w:w="3969" w:type="dxa"/>
          </w:tcPr>
          <w:p w:rsidR="00B54C5F" w:rsidRPr="00B54C5F" w:rsidRDefault="00B54C5F" w:rsidP="00BF71D2">
            <w:pPr>
              <w:bidi/>
              <w:spacing w:before="100" w:beforeAutospacing="1" w:after="0" w:line="240" w:lineRule="auto"/>
              <w:jc w:val="center"/>
              <w:rPr>
                <w:rFonts w:ascii="Arial" w:hAnsi="Arial" w:cs="Arial"/>
                <w:b/>
                <w:bCs/>
              </w:rPr>
            </w:pPr>
            <w:r w:rsidRPr="00B54C5F">
              <w:rPr>
                <w:rFonts w:ascii="Arial" w:hAnsi="Arial" w:cs="Arial" w:hint="cs"/>
                <w:b/>
                <w:bCs/>
                <w:rtl/>
              </w:rPr>
              <w:t>المجموعات</w:t>
            </w:r>
          </w:p>
        </w:tc>
        <w:tc>
          <w:tcPr>
            <w:tcW w:w="3969" w:type="dxa"/>
          </w:tcPr>
          <w:p w:rsidR="00B54C5F" w:rsidRPr="00B54C5F" w:rsidRDefault="00B54C5F" w:rsidP="00BF71D2">
            <w:pPr>
              <w:bidi/>
              <w:spacing w:before="100" w:beforeAutospacing="1" w:after="0" w:line="240" w:lineRule="auto"/>
              <w:jc w:val="center"/>
              <w:rPr>
                <w:rFonts w:ascii="Arial" w:hAnsi="Arial" w:cs="Arial"/>
                <w:b/>
                <w:bCs/>
                <w:rtl/>
              </w:rPr>
            </w:pPr>
            <w:r w:rsidRPr="00B54C5F">
              <w:rPr>
                <w:rFonts w:ascii="Arial" w:hAnsi="Arial" w:cs="Arial" w:hint="cs"/>
                <w:b/>
                <w:bCs/>
                <w:rtl/>
              </w:rPr>
              <w:t>المقدار</w:t>
            </w:r>
            <w:r w:rsidRPr="00B54C5F">
              <w:rPr>
                <w:rFonts w:ascii="Arial" w:hAnsi="Arial" w:cs="Arial"/>
                <w:b/>
                <w:bCs/>
                <w:rtl/>
              </w:rPr>
              <w:t xml:space="preserve"> </w:t>
            </w:r>
            <w:r w:rsidRPr="00B54C5F">
              <w:rPr>
                <w:rFonts w:ascii="Arial" w:hAnsi="Arial" w:cs="Arial" w:hint="cs"/>
                <w:b/>
                <w:bCs/>
                <w:rtl/>
              </w:rPr>
              <w:t>اليومي</w:t>
            </w:r>
          </w:p>
        </w:tc>
      </w:tr>
      <w:tr w:rsidR="00B54C5F" w:rsidRPr="00B54C5F" w:rsidTr="00BF71D2">
        <w:tc>
          <w:tcPr>
            <w:tcW w:w="3969" w:type="dxa"/>
          </w:tcPr>
          <w:p w:rsidR="00B54C5F" w:rsidRPr="00B54C5F" w:rsidRDefault="00B54C5F" w:rsidP="00BF71D2">
            <w:pPr>
              <w:bidi/>
              <w:spacing w:before="100" w:beforeAutospacing="1" w:after="0" w:line="240" w:lineRule="auto"/>
              <w:jc w:val="both"/>
              <w:rPr>
                <w:rFonts w:ascii="Arial" w:hAnsi="Arial" w:cs="Arial"/>
              </w:rPr>
            </w:pPr>
            <w:r w:rsidRPr="00B54C5F">
              <w:rPr>
                <w:rFonts w:ascii="Arial" w:hAnsi="Arial" w:cs="Arial" w:hint="cs"/>
                <w:rtl/>
              </w:rPr>
              <w:t>مجموعة</w:t>
            </w:r>
            <w:r w:rsidRPr="00B54C5F">
              <w:rPr>
                <w:rFonts w:ascii="Arial" w:hAnsi="Arial" w:cs="Arial"/>
                <w:rtl/>
              </w:rPr>
              <w:t xml:space="preserve"> "</w:t>
            </w:r>
            <w:r w:rsidRPr="00B54C5F">
              <w:rPr>
                <w:rFonts w:ascii="Arial" w:hAnsi="Arial" w:cs="Arial" w:hint="cs"/>
                <w:rtl/>
              </w:rPr>
              <w:t>أ</w:t>
            </w:r>
            <w:r w:rsidRPr="00B54C5F">
              <w:rPr>
                <w:rFonts w:ascii="Arial" w:hAnsi="Arial" w:cs="Arial"/>
                <w:rtl/>
              </w:rPr>
              <w:t>"</w:t>
            </w:r>
          </w:p>
        </w:tc>
        <w:tc>
          <w:tcPr>
            <w:tcW w:w="3969" w:type="dxa"/>
            <w:vAlign w:val="center"/>
          </w:tcPr>
          <w:p w:rsidR="00B54C5F" w:rsidRPr="00B54C5F" w:rsidRDefault="00B54C5F" w:rsidP="00BF71D2">
            <w:pPr>
              <w:bidi/>
              <w:spacing w:before="100" w:beforeAutospacing="1" w:after="0" w:line="240" w:lineRule="auto"/>
              <w:jc w:val="center"/>
              <w:rPr>
                <w:rFonts w:ascii="Arial" w:hAnsi="Arial" w:cs="Arial"/>
                <w:rtl/>
              </w:rPr>
            </w:pPr>
            <w:r w:rsidRPr="00B54C5F">
              <w:rPr>
                <w:rFonts w:ascii="Arial" w:hAnsi="Arial" w:cs="Arial"/>
              </w:rPr>
              <w:t xml:space="preserve">200 </w:t>
            </w:r>
            <w:r w:rsidRPr="00B54C5F">
              <w:rPr>
                <w:rFonts w:ascii="Arial" w:hAnsi="Arial" w:cs="Arial" w:hint="cs"/>
                <w:rtl/>
              </w:rPr>
              <w:t>دينار</w:t>
            </w:r>
          </w:p>
        </w:tc>
      </w:tr>
      <w:tr w:rsidR="00B54C5F" w:rsidRPr="00B54C5F" w:rsidTr="00BF71D2">
        <w:tc>
          <w:tcPr>
            <w:tcW w:w="3969" w:type="dxa"/>
            <w:tcBorders>
              <w:bottom w:val="single" w:sz="4" w:space="0" w:color="auto"/>
            </w:tcBorders>
          </w:tcPr>
          <w:p w:rsidR="00B54C5F" w:rsidRPr="00B54C5F" w:rsidRDefault="00B54C5F" w:rsidP="00BF71D2">
            <w:pPr>
              <w:bidi/>
              <w:spacing w:before="100" w:beforeAutospacing="1" w:after="0" w:line="240" w:lineRule="auto"/>
              <w:jc w:val="both"/>
              <w:rPr>
                <w:rFonts w:ascii="Arial" w:hAnsi="Arial" w:cs="Arial"/>
              </w:rPr>
            </w:pPr>
            <w:r w:rsidRPr="00B54C5F">
              <w:rPr>
                <w:rFonts w:ascii="Arial" w:hAnsi="Arial" w:cs="Arial" w:hint="cs"/>
                <w:rtl/>
              </w:rPr>
              <w:t>مجموعة</w:t>
            </w:r>
            <w:r w:rsidRPr="00B54C5F">
              <w:rPr>
                <w:rFonts w:ascii="Arial" w:hAnsi="Arial" w:cs="Arial"/>
                <w:rtl/>
              </w:rPr>
              <w:t xml:space="preserve"> "</w:t>
            </w:r>
            <w:r w:rsidRPr="00B54C5F">
              <w:rPr>
                <w:rFonts w:ascii="Arial" w:hAnsi="Arial" w:cs="Arial" w:hint="cs"/>
                <w:rtl/>
              </w:rPr>
              <w:t>ب</w:t>
            </w:r>
            <w:r w:rsidRPr="00B54C5F">
              <w:rPr>
                <w:rFonts w:ascii="Arial" w:hAnsi="Arial" w:cs="Arial"/>
                <w:rtl/>
              </w:rPr>
              <w:t>"</w:t>
            </w:r>
          </w:p>
        </w:tc>
        <w:tc>
          <w:tcPr>
            <w:tcW w:w="3969" w:type="dxa"/>
            <w:vAlign w:val="center"/>
          </w:tcPr>
          <w:p w:rsidR="00B54C5F" w:rsidRPr="00B54C5F" w:rsidRDefault="00B54C5F" w:rsidP="00BF71D2">
            <w:pPr>
              <w:bidi/>
              <w:spacing w:before="100" w:beforeAutospacing="1" w:after="0" w:line="240" w:lineRule="auto"/>
              <w:jc w:val="center"/>
              <w:rPr>
                <w:rFonts w:ascii="Arial" w:hAnsi="Arial" w:cs="Arial"/>
                <w:rtl/>
              </w:rPr>
            </w:pPr>
            <w:r w:rsidRPr="00B54C5F">
              <w:rPr>
                <w:rFonts w:ascii="Arial" w:hAnsi="Arial" w:cs="Arial"/>
              </w:rPr>
              <w:t xml:space="preserve">160 </w:t>
            </w:r>
            <w:r w:rsidRPr="00B54C5F">
              <w:rPr>
                <w:rFonts w:ascii="Arial" w:hAnsi="Arial" w:cs="Arial" w:hint="cs"/>
                <w:rtl/>
              </w:rPr>
              <w:t>دينارا</w:t>
            </w:r>
          </w:p>
        </w:tc>
      </w:tr>
      <w:tr w:rsidR="00B54C5F" w:rsidRPr="00B54C5F" w:rsidTr="00BF71D2">
        <w:tc>
          <w:tcPr>
            <w:tcW w:w="3969" w:type="dxa"/>
          </w:tcPr>
          <w:p w:rsidR="00B54C5F" w:rsidRPr="00B54C5F" w:rsidRDefault="00B54C5F" w:rsidP="00BF71D2">
            <w:pPr>
              <w:bidi/>
              <w:spacing w:before="100" w:beforeAutospacing="1" w:after="0" w:line="240" w:lineRule="auto"/>
              <w:jc w:val="both"/>
              <w:rPr>
                <w:rFonts w:ascii="Arial" w:hAnsi="Arial" w:cs="Arial"/>
              </w:rPr>
            </w:pPr>
            <w:r w:rsidRPr="00B54C5F">
              <w:rPr>
                <w:rFonts w:ascii="Arial" w:hAnsi="Arial" w:cs="Arial" w:hint="cs"/>
                <w:rtl/>
              </w:rPr>
              <w:t>مجموعة</w:t>
            </w:r>
            <w:r w:rsidRPr="00B54C5F">
              <w:rPr>
                <w:rFonts w:ascii="Arial" w:hAnsi="Arial" w:cs="Arial"/>
                <w:rtl/>
              </w:rPr>
              <w:t xml:space="preserve"> "</w:t>
            </w:r>
            <w:r w:rsidRPr="00B54C5F">
              <w:rPr>
                <w:rFonts w:ascii="Arial" w:hAnsi="Arial" w:cs="Arial" w:hint="cs"/>
                <w:rtl/>
              </w:rPr>
              <w:t>ج</w:t>
            </w:r>
            <w:r w:rsidRPr="00B54C5F">
              <w:rPr>
                <w:rFonts w:ascii="Arial" w:hAnsi="Arial" w:cs="Arial"/>
                <w:rtl/>
              </w:rPr>
              <w:t>"</w:t>
            </w:r>
          </w:p>
        </w:tc>
        <w:tc>
          <w:tcPr>
            <w:tcW w:w="3969" w:type="dxa"/>
            <w:vAlign w:val="center"/>
          </w:tcPr>
          <w:p w:rsidR="00B54C5F" w:rsidRPr="00B54C5F" w:rsidRDefault="00B54C5F" w:rsidP="00BF71D2">
            <w:pPr>
              <w:bidi/>
              <w:spacing w:before="100" w:beforeAutospacing="1" w:after="0" w:line="240" w:lineRule="auto"/>
              <w:jc w:val="center"/>
              <w:rPr>
                <w:rFonts w:ascii="Arial" w:hAnsi="Arial" w:cs="Arial"/>
                <w:rtl/>
              </w:rPr>
            </w:pPr>
            <w:r w:rsidRPr="00B54C5F">
              <w:rPr>
                <w:rFonts w:ascii="Arial" w:hAnsi="Arial" w:cs="Arial"/>
              </w:rPr>
              <w:t xml:space="preserve">130 </w:t>
            </w:r>
            <w:r w:rsidRPr="00B54C5F">
              <w:rPr>
                <w:rFonts w:ascii="Arial" w:hAnsi="Arial" w:cs="Arial" w:hint="cs"/>
                <w:rtl/>
              </w:rPr>
              <w:t>دينارا</w:t>
            </w:r>
          </w:p>
        </w:tc>
      </w:tr>
    </w:tbl>
    <w:p w:rsidR="00726FBA" w:rsidRPr="00B54C5F" w:rsidRDefault="000944AB" w:rsidP="00B54C5F">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الفصل</w:t>
      </w:r>
      <w:r w:rsidR="00726FBA" w:rsidRPr="00B54C5F">
        <w:rPr>
          <w:rFonts w:ascii="Arial" w:hAnsi="Arial" w:cs="Arial"/>
          <w:b/>
          <w:bCs/>
          <w:rtl/>
          <w:lang w:bidi="ar-TN"/>
        </w:rPr>
        <w:t xml:space="preserve"> 8 –</w:t>
      </w:r>
      <w:r w:rsidR="00726FBA" w:rsidRPr="00B54C5F">
        <w:rPr>
          <w:rFonts w:ascii="Arial" w:hAnsi="Arial" w:cs="Arial"/>
          <w:rtl/>
          <w:lang w:bidi="ar-TN"/>
        </w:rPr>
        <w:t xml:space="preserve"> </w:t>
      </w:r>
      <w:r w:rsidRPr="00B54C5F">
        <w:rPr>
          <w:rFonts w:ascii="Arial" w:hAnsi="Arial" w:cs="Arial"/>
          <w:rtl/>
          <w:lang w:bidi="ar-TN"/>
        </w:rPr>
        <w:t>يمكن الترخيص للدولة وللجماعات المحلية وللمؤسسات العمومية ذات الصبغة الإدارية وللمؤسسات والمنشآت العمومية في تغطية الكلفة الحقيقية لنفقات السكن بالنسبة إلى الأعوان الموفدين إلى الخارج للقيام بمأمورية تكتسي طابعا استثنائيا بالنظر إلى أهميتها الخاصة من الناحية السياسية أو الاقتصادية وبالنظر كذلك إلى تكاليف وظروف السكن</w:t>
      </w:r>
      <w:r w:rsidRPr="00B54C5F">
        <w:rPr>
          <w:rFonts w:ascii="Arial" w:hAnsi="Arial" w:cs="Arial"/>
          <w:lang w:bidi="ar-TN"/>
        </w:rPr>
        <w:t>.</w:t>
      </w:r>
    </w:p>
    <w:p w:rsidR="000944AB" w:rsidRPr="00B54C5F" w:rsidRDefault="000944AB" w:rsidP="00726FBA">
      <w:pPr>
        <w:bidi/>
        <w:spacing w:before="100" w:beforeAutospacing="1" w:after="0" w:line="240" w:lineRule="auto"/>
        <w:ind w:left="284"/>
        <w:jc w:val="both"/>
        <w:rPr>
          <w:rFonts w:ascii="Arial" w:hAnsi="Arial" w:cs="Arial"/>
          <w:rtl/>
          <w:lang w:bidi="ar-TN"/>
        </w:rPr>
      </w:pPr>
      <w:r w:rsidRPr="00B54C5F">
        <w:rPr>
          <w:rFonts w:ascii="Arial" w:hAnsi="Arial" w:cs="Arial"/>
          <w:rtl/>
          <w:lang w:bidi="ar-TN"/>
        </w:rPr>
        <w:t>ويسند هذا الترخيص بمقتضى قرار من الوزير الأول على ضوء تقرير معلل من رئيس الإدارة المعنية</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rtl/>
          <w:lang w:bidi="ar-TN"/>
        </w:rPr>
        <w:t>كما يحدد قرار الوزير الأول المشار إليه أعلاه باقتراح من الوزير المعني الحد الأقصى المرخص في إسناده بعنوان المأمورية المعنية</w:t>
      </w:r>
      <w:r w:rsidRPr="00B54C5F">
        <w:rPr>
          <w:rFonts w:ascii="Arial" w:hAnsi="Arial" w:cs="Arial"/>
          <w:lang w:bidi="ar-TN"/>
        </w:rPr>
        <w:t>.</w:t>
      </w:r>
    </w:p>
    <w:p w:rsidR="00B54C5F" w:rsidRPr="00B54C5F" w:rsidRDefault="00B54C5F" w:rsidP="000944AB">
      <w:pPr>
        <w:bidi/>
        <w:spacing w:before="100" w:beforeAutospacing="1" w:after="0" w:line="240" w:lineRule="auto"/>
        <w:ind w:left="284"/>
        <w:jc w:val="both"/>
        <w:rPr>
          <w:rFonts w:ascii="Arial" w:hAnsi="Arial" w:cs="Arial"/>
          <w:rtl/>
        </w:rPr>
      </w:pPr>
      <w:r w:rsidRPr="00B54C5F">
        <w:rPr>
          <w:rFonts w:ascii="Arial" w:hAnsi="Arial" w:cs="Arial" w:hint="cs"/>
          <w:b/>
          <w:bCs/>
          <w:rtl/>
        </w:rPr>
        <w:t>الفصل</w:t>
      </w:r>
      <w:r w:rsidRPr="00B54C5F">
        <w:rPr>
          <w:rFonts w:ascii="Arial" w:hAnsi="Arial" w:cs="Arial"/>
          <w:b/>
          <w:bCs/>
          <w:rtl/>
        </w:rPr>
        <w:t xml:space="preserve"> 9 (</w:t>
      </w:r>
      <w:r w:rsidRPr="00B54C5F">
        <w:rPr>
          <w:rFonts w:ascii="Arial" w:hAnsi="Arial" w:cs="Arial" w:hint="cs"/>
          <w:b/>
          <w:bCs/>
          <w:rtl/>
        </w:rPr>
        <w:t>جديد</w:t>
      </w:r>
      <w:r w:rsidRPr="00B54C5F">
        <w:rPr>
          <w:rFonts w:ascii="Arial" w:hAnsi="Arial" w:cs="Arial"/>
          <w:b/>
          <w:bCs/>
          <w:rtl/>
        </w:rPr>
        <w:t>)</w:t>
      </w:r>
      <w:r w:rsidRPr="00B54C5F">
        <w:rPr>
          <w:rFonts w:ascii="Arial" w:hAnsi="Arial" w:cs="Arial" w:hint="cs"/>
          <w:b/>
          <w:bCs/>
          <w:rtl/>
        </w:rPr>
        <w:t xml:space="preserve"> </w:t>
      </w:r>
      <w:r w:rsidRPr="00B54C5F">
        <w:rPr>
          <w:rFonts w:ascii="Arial" w:hAnsi="Arial" w:cs="Arial"/>
          <w:b/>
          <w:bCs/>
          <w:rtl/>
        </w:rPr>
        <w:t>–</w:t>
      </w:r>
      <w:r w:rsidRPr="00B54C5F">
        <w:rPr>
          <w:rFonts w:ascii="Arial" w:hAnsi="Arial" w:cs="Arial" w:hint="cs"/>
          <w:b/>
          <w:bCs/>
          <w:rtl/>
        </w:rPr>
        <w:t xml:space="preserve"> </w:t>
      </w:r>
      <w:r w:rsidRPr="00B54C5F">
        <w:rPr>
          <w:rFonts w:ascii="Arial" w:hAnsi="Arial" w:cs="Arial" w:hint="cs"/>
          <w:b/>
          <w:bCs/>
          <w:rtl/>
        </w:rPr>
        <w:t>أضيف  بمقتضى الأمر</w:t>
      </w:r>
      <w:r w:rsidRPr="00B54C5F">
        <w:rPr>
          <w:rFonts w:ascii="Arial" w:hAnsi="Arial" w:cs="Arial"/>
          <w:b/>
          <w:bCs/>
          <w:rtl/>
        </w:rPr>
        <w:t xml:space="preserve"> </w:t>
      </w:r>
      <w:r w:rsidRPr="00B54C5F">
        <w:rPr>
          <w:rFonts w:ascii="Arial" w:hAnsi="Arial" w:cs="Arial" w:hint="cs"/>
          <w:b/>
          <w:bCs/>
          <w:rtl/>
        </w:rPr>
        <w:t>عدد</w:t>
      </w:r>
      <w:r w:rsidRPr="00B54C5F">
        <w:rPr>
          <w:rFonts w:ascii="Arial" w:hAnsi="Arial" w:cs="Arial"/>
          <w:b/>
          <w:bCs/>
          <w:rtl/>
        </w:rPr>
        <w:t xml:space="preserve"> 1733 </w:t>
      </w:r>
      <w:r w:rsidRPr="00B54C5F">
        <w:rPr>
          <w:rFonts w:ascii="Arial" w:hAnsi="Arial" w:cs="Arial" w:hint="cs"/>
          <w:b/>
          <w:bCs/>
          <w:rtl/>
        </w:rPr>
        <w:t>لسنة</w:t>
      </w:r>
      <w:r w:rsidRPr="00B54C5F">
        <w:rPr>
          <w:rFonts w:ascii="Arial" w:hAnsi="Arial" w:cs="Arial"/>
          <w:b/>
          <w:bCs/>
          <w:rtl/>
        </w:rPr>
        <w:t xml:space="preserve"> 2005 </w:t>
      </w:r>
      <w:r w:rsidRPr="00B54C5F">
        <w:rPr>
          <w:rFonts w:ascii="Arial" w:hAnsi="Arial" w:cs="Arial" w:hint="cs"/>
          <w:b/>
          <w:bCs/>
          <w:rtl/>
        </w:rPr>
        <w:t>المؤرخ</w:t>
      </w:r>
      <w:r w:rsidRPr="00B54C5F">
        <w:rPr>
          <w:rFonts w:ascii="Arial" w:hAnsi="Arial" w:cs="Arial"/>
          <w:b/>
          <w:bCs/>
          <w:rtl/>
        </w:rPr>
        <w:t xml:space="preserve"> </w:t>
      </w:r>
      <w:r w:rsidRPr="00B54C5F">
        <w:rPr>
          <w:rFonts w:ascii="Arial" w:hAnsi="Arial" w:cs="Arial" w:hint="cs"/>
          <w:b/>
          <w:bCs/>
          <w:rtl/>
        </w:rPr>
        <w:t>في</w:t>
      </w:r>
      <w:r w:rsidRPr="00B54C5F">
        <w:rPr>
          <w:rFonts w:ascii="Arial" w:hAnsi="Arial" w:cs="Arial"/>
          <w:b/>
          <w:bCs/>
          <w:rtl/>
        </w:rPr>
        <w:t xml:space="preserve"> 13 </w:t>
      </w:r>
      <w:r w:rsidRPr="00B54C5F">
        <w:rPr>
          <w:rFonts w:ascii="Arial" w:hAnsi="Arial" w:cs="Arial" w:hint="cs"/>
          <w:b/>
          <w:bCs/>
          <w:rtl/>
        </w:rPr>
        <w:t>جوان</w:t>
      </w:r>
      <w:r w:rsidRPr="00B54C5F">
        <w:rPr>
          <w:rFonts w:ascii="Arial" w:hAnsi="Arial" w:cs="Arial"/>
          <w:b/>
          <w:bCs/>
        </w:rPr>
        <w:t xml:space="preserve"> – </w:t>
      </w:r>
      <w:r w:rsidRPr="00B54C5F">
        <w:rPr>
          <w:rFonts w:ascii="Arial" w:hAnsi="Arial" w:cs="Arial" w:hint="cs"/>
          <w:rtl/>
        </w:rPr>
        <w:t>علاوة</w:t>
      </w:r>
      <w:r w:rsidRPr="00B54C5F">
        <w:rPr>
          <w:rFonts w:ascii="Arial" w:hAnsi="Arial" w:cs="Arial"/>
          <w:rtl/>
        </w:rPr>
        <w:t xml:space="preserve"> </w:t>
      </w:r>
      <w:r w:rsidRPr="00B54C5F">
        <w:rPr>
          <w:rFonts w:ascii="Arial" w:hAnsi="Arial" w:cs="Arial" w:hint="cs"/>
          <w:rtl/>
        </w:rPr>
        <w:t>على</w:t>
      </w:r>
      <w:r w:rsidRPr="00B54C5F">
        <w:rPr>
          <w:rFonts w:ascii="Arial" w:hAnsi="Arial" w:cs="Arial"/>
          <w:rtl/>
        </w:rPr>
        <w:t xml:space="preserve"> </w:t>
      </w:r>
      <w:r w:rsidRPr="00B54C5F">
        <w:rPr>
          <w:rFonts w:ascii="Arial" w:hAnsi="Arial" w:cs="Arial" w:hint="cs"/>
          <w:rtl/>
        </w:rPr>
        <w:t>تغطية</w:t>
      </w:r>
      <w:r w:rsidRPr="00B54C5F">
        <w:rPr>
          <w:rFonts w:ascii="Arial" w:hAnsi="Arial" w:cs="Arial"/>
          <w:rtl/>
        </w:rPr>
        <w:t xml:space="preserve"> </w:t>
      </w:r>
      <w:r w:rsidRPr="00B54C5F">
        <w:rPr>
          <w:rFonts w:ascii="Arial" w:hAnsi="Arial" w:cs="Arial" w:hint="cs"/>
          <w:rtl/>
        </w:rPr>
        <w:t>نفقات</w:t>
      </w:r>
      <w:r w:rsidRPr="00B54C5F">
        <w:rPr>
          <w:rFonts w:ascii="Arial" w:hAnsi="Arial" w:cs="Arial"/>
          <w:rtl/>
        </w:rPr>
        <w:t xml:space="preserve"> </w:t>
      </w:r>
      <w:r w:rsidRPr="00B54C5F">
        <w:rPr>
          <w:rFonts w:ascii="Arial" w:hAnsi="Arial" w:cs="Arial" w:hint="cs"/>
          <w:rtl/>
        </w:rPr>
        <w:t>السكن</w:t>
      </w:r>
      <w:r w:rsidRPr="00B54C5F">
        <w:rPr>
          <w:rFonts w:ascii="Arial" w:hAnsi="Arial" w:cs="Arial"/>
          <w:rtl/>
        </w:rPr>
        <w:t xml:space="preserve"> </w:t>
      </w:r>
      <w:r w:rsidRPr="00B54C5F">
        <w:rPr>
          <w:rFonts w:ascii="Arial" w:hAnsi="Arial" w:cs="Arial" w:hint="cs"/>
          <w:rtl/>
        </w:rPr>
        <w:t>طبقا</w:t>
      </w:r>
      <w:r w:rsidRPr="00B54C5F">
        <w:rPr>
          <w:rFonts w:ascii="Arial" w:hAnsi="Arial" w:cs="Arial"/>
          <w:rtl/>
        </w:rPr>
        <w:t xml:space="preserve"> </w:t>
      </w:r>
      <w:r w:rsidRPr="00B54C5F">
        <w:rPr>
          <w:rFonts w:ascii="Arial" w:hAnsi="Arial" w:cs="Arial" w:hint="cs"/>
          <w:rtl/>
        </w:rPr>
        <w:t>لأحكام</w:t>
      </w:r>
      <w:r w:rsidRPr="00B54C5F">
        <w:rPr>
          <w:rFonts w:ascii="Arial" w:hAnsi="Arial" w:cs="Arial"/>
          <w:rtl/>
        </w:rPr>
        <w:t xml:space="preserve"> </w:t>
      </w:r>
      <w:r w:rsidRPr="00B54C5F">
        <w:rPr>
          <w:rFonts w:ascii="Arial" w:hAnsi="Arial" w:cs="Arial" w:hint="cs"/>
          <w:rtl/>
        </w:rPr>
        <w:t>الفصل</w:t>
      </w:r>
      <w:r w:rsidRPr="00B54C5F">
        <w:rPr>
          <w:rFonts w:ascii="Arial" w:hAnsi="Arial" w:cs="Arial"/>
          <w:rtl/>
        </w:rPr>
        <w:t xml:space="preserve"> 8 </w:t>
      </w:r>
      <w:r w:rsidRPr="00B54C5F">
        <w:rPr>
          <w:rFonts w:ascii="Arial" w:hAnsi="Arial" w:cs="Arial" w:hint="cs"/>
          <w:rtl/>
        </w:rPr>
        <w:t>أعلاه</w:t>
      </w:r>
      <w:r w:rsidRPr="00B54C5F">
        <w:rPr>
          <w:rFonts w:ascii="Arial" w:hAnsi="Arial" w:cs="Arial"/>
          <w:rtl/>
        </w:rPr>
        <w:t xml:space="preserve"> </w:t>
      </w:r>
      <w:r w:rsidRPr="00B54C5F">
        <w:rPr>
          <w:rFonts w:ascii="Arial" w:hAnsi="Arial" w:cs="Arial" w:hint="cs"/>
          <w:rtl/>
        </w:rPr>
        <w:t>يسند</w:t>
      </w:r>
      <w:r w:rsidRPr="00B54C5F">
        <w:rPr>
          <w:rFonts w:ascii="Arial" w:hAnsi="Arial" w:cs="Arial"/>
          <w:rtl/>
        </w:rPr>
        <w:t xml:space="preserve"> </w:t>
      </w:r>
      <w:r w:rsidRPr="00B54C5F">
        <w:rPr>
          <w:rFonts w:ascii="Arial" w:hAnsi="Arial" w:cs="Arial" w:hint="cs"/>
          <w:rtl/>
        </w:rPr>
        <w:t>إلى</w:t>
      </w:r>
      <w:r w:rsidRPr="00B54C5F">
        <w:rPr>
          <w:rFonts w:ascii="Arial" w:hAnsi="Arial" w:cs="Arial"/>
          <w:rtl/>
        </w:rPr>
        <w:t xml:space="preserve"> </w:t>
      </w:r>
      <w:r w:rsidRPr="00B54C5F">
        <w:rPr>
          <w:rFonts w:ascii="Arial" w:hAnsi="Arial" w:cs="Arial" w:hint="cs"/>
          <w:rtl/>
        </w:rPr>
        <w:t>العون</w:t>
      </w:r>
      <w:r w:rsidRPr="00B54C5F">
        <w:rPr>
          <w:rFonts w:ascii="Arial" w:hAnsi="Arial" w:cs="Arial"/>
          <w:rtl/>
        </w:rPr>
        <w:t xml:space="preserve"> </w:t>
      </w:r>
      <w:r w:rsidRPr="00B54C5F">
        <w:rPr>
          <w:rFonts w:ascii="Arial" w:hAnsi="Arial" w:cs="Arial" w:hint="cs"/>
          <w:rtl/>
        </w:rPr>
        <w:t>الموفد</w:t>
      </w:r>
      <w:r w:rsidRPr="00B54C5F">
        <w:rPr>
          <w:rFonts w:ascii="Arial" w:hAnsi="Arial" w:cs="Arial"/>
          <w:rtl/>
        </w:rPr>
        <w:t xml:space="preserve"> </w:t>
      </w:r>
      <w:r w:rsidRPr="00B54C5F">
        <w:rPr>
          <w:rFonts w:ascii="Arial" w:hAnsi="Arial" w:cs="Arial" w:hint="cs"/>
          <w:rtl/>
        </w:rPr>
        <w:t>للقيام</w:t>
      </w:r>
      <w:r w:rsidRPr="00B54C5F">
        <w:rPr>
          <w:rFonts w:ascii="Arial" w:hAnsi="Arial" w:cs="Arial"/>
          <w:rtl/>
        </w:rPr>
        <w:t xml:space="preserve"> </w:t>
      </w:r>
      <w:r w:rsidRPr="00B54C5F">
        <w:rPr>
          <w:rFonts w:ascii="Arial" w:hAnsi="Arial" w:cs="Arial" w:hint="cs"/>
          <w:rtl/>
        </w:rPr>
        <w:t>بمأمورية</w:t>
      </w:r>
      <w:r w:rsidRPr="00B54C5F">
        <w:rPr>
          <w:rFonts w:ascii="Arial" w:hAnsi="Arial" w:cs="Arial"/>
          <w:rtl/>
        </w:rPr>
        <w:t xml:space="preserve"> </w:t>
      </w:r>
      <w:r w:rsidRPr="00B54C5F">
        <w:rPr>
          <w:rFonts w:ascii="Arial" w:hAnsi="Arial" w:cs="Arial" w:hint="cs"/>
          <w:rtl/>
        </w:rPr>
        <w:t>تكتسي</w:t>
      </w:r>
      <w:r w:rsidRPr="00B54C5F">
        <w:rPr>
          <w:rFonts w:ascii="Arial" w:hAnsi="Arial" w:cs="Arial"/>
          <w:rtl/>
        </w:rPr>
        <w:t xml:space="preserve"> </w:t>
      </w:r>
      <w:r w:rsidRPr="00B54C5F">
        <w:rPr>
          <w:rFonts w:ascii="Arial" w:hAnsi="Arial" w:cs="Arial" w:hint="cs"/>
          <w:rtl/>
        </w:rPr>
        <w:t>طابعا</w:t>
      </w:r>
      <w:r w:rsidRPr="00B54C5F">
        <w:rPr>
          <w:rFonts w:ascii="Arial" w:hAnsi="Arial" w:cs="Arial"/>
          <w:rtl/>
        </w:rPr>
        <w:t xml:space="preserve"> </w:t>
      </w:r>
      <w:r w:rsidRPr="00B54C5F">
        <w:rPr>
          <w:rFonts w:ascii="Arial" w:hAnsi="Arial" w:cs="Arial" w:hint="cs"/>
          <w:rtl/>
        </w:rPr>
        <w:t>استثنائيا</w:t>
      </w:r>
      <w:r w:rsidRPr="00B54C5F">
        <w:rPr>
          <w:rFonts w:ascii="Arial" w:hAnsi="Arial" w:cs="Arial"/>
          <w:rtl/>
        </w:rPr>
        <w:t xml:space="preserve"> </w:t>
      </w:r>
      <w:r w:rsidRPr="00B54C5F">
        <w:rPr>
          <w:rFonts w:ascii="Arial" w:hAnsi="Arial" w:cs="Arial" w:hint="cs"/>
          <w:rtl/>
        </w:rPr>
        <w:t>نصف</w:t>
      </w:r>
      <w:r w:rsidRPr="00B54C5F">
        <w:rPr>
          <w:rFonts w:ascii="Arial" w:hAnsi="Arial" w:cs="Arial"/>
          <w:rtl/>
        </w:rPr>
        <w:t xml:space="preserve"> </w:t>
      </w:r>
      <w:r w:rsidRPr="00B54C5F">
        <w:rPr>
          <w:rFonts w:ascii="Arial" w:hAnsi="Arial" w:cs="Arial" w:hint="cs"/>
          <w:rtl/>
        </w:rPr>
        <w:t>مقدار</w:t>
      </w:r>
      <w:r w:rsidRPr="00B54C5F">
        <w:rPr>
          <w:rFonts w:ascii="Arial" w:hAnsi="Arial" w:cs="Arial"/>
          <w:rtl/>
        </w:rPr>
        <w:t xml:space="preserve"> </w:t>
      </w:r>
      <w:r w:rsidRPr="00B54C5F">
        <w:rPr>
          <w:rFonts w:ascii="Arial" w:hAnsi="Arial" w:cs="Arial" w:hint="cs"/>
          <w:rtl/>
        </w:rPr>
        <w:t>المنحة</w:t>
      </w:r>
      <w:r w:rsidRPr="00B54C5F">
        <w:rPr>
          <w:rFonts w:ascii="Arial" w:hAnsi="Arial" w:cs="Arial"/>
          <w:rtl/>
        </w:rPr>
        <w:t xml:space="preserve"> </w:t>
      </w:r>
      <w:r w:rsidRPr="00B54C5F">
        <w:rPr>
          <w:rFonts w:ascii="Arial" w:hAnsi="Arial" w:cs="Arial" w:hint="cs"/>
          <w:rtl/>
        </w:rPr>
        <w:t>اليومية</w:t>
      </w:r>
      <w:r w:rsidRPr="00B54C5F">
        <w:rPr>
          <w:rFonts w:ascii="Arial" w:hAnsi="Arial" w:cs="Arial"/>
          <w:rtl/>
        </w:rPr>
        <w:t xml:space="preserve"> </w:t>
      </w:r>
      <w:r w:rsidRPr="00B54C5F">
        <w:rPr>
          <w:rFonts w:ascii="Arial" w:hAnsi="Arial" w:cs="Arial" w:hint="cs"/>
          <w:rtl/>
        </w:rPr>
        <w:t>الراجعة</w:t>
      </w:r>
      <w:r w:rsidRPr="00B54C5F">
        <w:rPr>
          <w:rFonts w:ascii="Arial" w:hAnsi="Arial" w:cs="Arial"/>
          <w:rtl/>
        </w:rPr>
        <w:t xml:space="preserve"> </w:t>
      </w:r>
      <w:r w:rsidRPr="00B54C5F">
        <w:rPr>
          <w:rFonts w:ascii="Arial" w:hAnsi="Arial" w:cs="Arial" w:hint="cs"/>
          <w:rtl/>
        </w:rPr>
        <w:t>إليه،</w:t>
      </w:r>
      <w:r w:rsidRPr="00B54C5F">
        <w:rPr>
          <w:rFonts w:ascii="Arial" w:hAnsi="Arial" w:cs="Arial"/>
          <w:rtl/>
        </w:rPr>
        <w:t xml:space="preserve"> </w:t>
      </w:r>
      <w:r w:rsidRPr="00B54C5F">
        <w:rPr>
          <w:rFonts w:ascii="Arial" w:hAnsi="Arial" w:cs="Arial" w:hint="cs"/>
          <w:rtl/>
        </w:rPr>
        <w:t>كما</w:t>
      </w:r>
      <w:r w:rsidRPr="00B54C5F">
        <w:rPr>
          <w:rFonts w:ascii="Arial" w:hAnsi="Arial" w:cs="Arial"/>
          <w:rtl/>
        </w:rPr>
        <w:t xml:space="preserve"> </w:t>
      </w:r>
      <w:r w:rsidRPr="00B54C5F">
        <w:rPr>
          <w:rFonts w:ascii="Arial" w:hAnsi="Arial" w:cs="Arial" w:hint="cs"/>
          <w:rtl/>
        </w:rPr>
        <w:t>تم</w:t>
      </w:r>
      <w:r w:rsidRPr="00B54C5F">
        <w:rPr>
          <w:rFonts w:ascii="Arial" w:hAnsi="Arial" w:cs="Arial"/>
          <w:rtl/>
        </w:rPr>
        <w:t xml:space="preserve"> </w:t>
      </w:r>
      <w:r w:rsidRPr="00B54C5F">
        <w:rPr>
          <w:rFonts w:ascii="Arial" w:hAnsi="Arial" w:cs="Arial" w:hint="cs"/>
          <w:rtl/>
        </w:rPr>
        <w:t>تحديده</w:t>
      </w:r>
      <w:r w:rsidRPr="00B54C5F">
        <w:rPr>
          <w:rFonts w:ascii="Arial" w:hAnsi="Arial" w:cs="Arial"/>
          <w:rtl/>
        </w:rPr>
        <w:t xml:space="preserve"> </w:t>
      </w:r>
      <w:r w:rsidRPr="00B54C5F">
        <w:rPr>
          <w:rFonts w:ascii="Arial" w:hAnsi="Arial" w:cs="Arial" w:hint="cs"/>
          <w:rtl/>
        </w:rPr>
        <w:t>بالفصل</w:t>
      </w:r>
      <w:r w:rsidRPr="00B54C5F">
        <w:rPr>
          <w:rFonts w:ascii="Arial" w:hAnsi="Arial" w:cs="Arial"/>
          <w:rtl/>
        </w:rPr>
        <w:t xml:space="preserve"> 7 (</w:t>
      </w:r>
      <w:r w:rsidRPr="00B54C5F">
        <w:rPr>
          <w:rFonts w:ascii="Arial" w:hAnsi="Arial" w:cs="Arial" w:hint="cs"/>
          <w:rtl/>
        </w:rPr>
        <w:t>جديد</w:t>
      </w:r>
      <w:r w:rsidRPr="00B54C5F">
        <w:rPr>
          <w:rFonts w:ascii="Arial" w:hAnsi="Arial" w:cs="Arial"/>
          <w:rtl/>
        </w:rPr>
        <w:t xml:space="preserve">) </w:t>
      </w:r>
      <w:r w:rsidRPr="00B54C5F">
        <w:rPr>
          <w:rFonts w:ascii="Arial" w:hAnsi="Arial" w:cs="Arial" w:hint="cs"/>
          <w:rtl/>
        </w:rPr>
        <w:t>من</w:t>
      </w:r>
      <w:r w:rsidRPr="00B54C5F">
        <w:rPr>
          <w:rFonts w:ascii="Arial" w:hAnsi="Arial" w:cs="Arial"/>
          <w:rtl/>
        </w:rPr>
        <w:t xml:space="preserve"> </w:t>
      </w:r>
      <w:r w:rsidRPr="00B54C5F">
        <w:rPr>
          <w:rFonts w:ascii="Arial" w:hAnsi="Arial" w:cs="Arial" w:hint="cs"/>
          <w:rtl/>
        </w:rPr>
        <w:t>هذا</w:t>
      </w:r>
      <w:r w:rsidRPr="00B54C5F">
        <w:rPr>
          <w:rFonts w:ascii="Arial" w:hAnsi="Arial" w:cs="Arial"/>
          <w:rtl/>
        </w:rPr>
        <w:t xml:space="preserve"> </w:t>
      </w:r>
      <w:r w:rsidRPr="00B54C5F">
        <w:rPr>
          <w:rFonts w:ascii="Arial" w:hAnsi="Arial" w:cs="Arial" w:hint="cs"/>
          <w:rtl/>
        </w:rPr>
        <w:t>الأمر</w:t>
      </w:r>
    </w:p>
    <w:p w:rsidR="000944AB" w:rsidRPr="00B54C5F" w:rsidRDefault="000944AB" w:rsidP="00B54C5F">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 xml:space="preserve">الفصل </w:t>
      </w:r>
      <w:r w:rsidR="00726FBA" w:rsidRPr="00B54C5F">
        <w:rPr>
          <w:rFonts w:ascii="Arial" w:hAnsi="Arial" w:cs="Arial"/>
          <w:b/>
          <w:bCs/>
          <w:rtl/>
          <w:lang w:bidi="ar-TN"/>
        </w:rPr>
        <w:t>10 –</w:t>
      </w:r>
      <w:r w:rsidRPr="00B54C5F">
        <w:rPr>
          <w:rFonts w:ascii="Arial" w:hAnsi="Arial" w:cs="Arial"/>
          <w:rtl/>
          <w:lang w:bidi="ar-TN"/>
        </w:rPr>
        <w:t xml:space="preserve"> تحتسب المنحة اليومية على أساس المدة المحددة بالإذن بمأمورية والموافقة للمدة الفعلية للإقامة بالخارج، باعتبار يوم الانطلاق من تونس ويوم العودة إليها</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 xml:space="preserve">الفصل </w:t>
      </w:r>
      <w:r w:rsidR="00726FBA" w:rsidRPr="00B54C5F">
        <w:rPr>
          <w:rFonts w:ascii="Arial" w:hAnsi="Arial" w:cs="Arial"/>
          <w:b/>
          <w:bCs/>
          <w:rtl/>
          <w:lang w:bidi="ar-TN"/>
        </w:rPr>
        <w:t>11</w:t>
      </w:r>
      <w:r w:rsidR="00726FBA" w:rsidRPr="00B54C5F">
        <w:rPr>
          <w:rFonts w:ascii="Arial" w:hAnsi="Arial" w:cs="Arial"/>
          <w:rtl/>
          <w:lang w:bidi="ar-TN"/>
        </w:rPr>
        <w:t xml:space="preserve"> –</w:t>
      </w:r>
      <w:r w:rsidRPr="00B54C5F">
        <w:rPr>
          <w:rFonts w:ascii="Arial" w:hAnsi="Arial" w:cs="Arial"/>
          <w:rtl/>
          <w:lang w:bidi="ar-TN"/>
        </w:rPr>
        <w:t xml:space="preserve"> بالنسبة إلى المأموريات التي تفوق مدتها عشرين يوما، يتم الحط في مقدار المنحة إلى الثلث بداية من اليوم الواحد والعشرين من مدة المأمورية إلا في صورة استثناء يرخص فيه مسبقا الوزير الأول على ضوء تقرير معلل من رئيس الإدارة المعنية</w:t>
      </w:r>
      <w:r w:rsidRPr="00B54C5F">
        <w:rPr>
          <w:rFonts w:ascii="Arial" w:hAnsi="Arial" w:cs="Arial"/>
          <w:lang w:bidi="ar-TN"/>
        </w:rPr>
        <w:t>.</w:t>
      </w:r>
    </w:p>
    <w:p w:rsidR="00B54C5F" w:rsidRPr="00B54C5F" w:rsidRDefault="00B54C5F" w:rsidP="00B54C5F">
      <w:pPr>
        <w:bidi/>
        <w:spacing w:before="100" w:beforeAutospacing="1" w:after="0" w:line="240" w:lineRule="auto"/>
        <w:ind w:left="284"/>
        <w:jc w:val="both"/>
        <w:rPr>
          <w:rFonts w:ascii="Arial" w:hAnsi="Arial" w:cs="Arial"/>
          <w:rtl/>
        </w:rPr>
      </w:pPr>
      <w:r w:rsidRPr="00B54C5F">
        <w:rPr>
          <w:rFonts w:ascii="Arial" w:hAnsi="Arial" w:cs="Arial" w:hint="cs"/>
          <w:b/>
          <w:bCs/>
          <w:rtl/>
        </w:rPr>
        <w:t>الفصل</w:t>
      </w:r>
      <w:r w:rsidRPr="00B54C5F">
        <w:rPr>
          <w:rFonts w:ascii="Arial" w:hAnsi="Arial" w:cs="Arial"/>
          <w:b/>
          <w:bCs/>
          <w:rtl/>
        </w:rPr>
        <w:t xml:space="preserve"> 12 (</w:t>
      </w:r>
      <w:r w:rsidRPr="00B54C5F">
        <w:rPr>
          <w:rFonts w:ascii="Arial" w:hAnsi="Arial" w:cs="Arial" w:hint="cs"/>
          <w:b/>
          <w:bCs/>
          <w:rtl/>
        </w:rPr>
        <w:t>جديد</w:t>
      </w:r>
      <w:r w:rsidRPr="00B54C5F">
        <w:rPr>
          <w:rFonts w:ascii="Arial" w:hAnsi="Arial" w:cs="Arial"/>
          <w:b/>
          <w:bCs/>
          <w:rtl/>
        </w:rPr>
        <w:t>)</w:t>
      </w:r>
      <w:r w:rsidRPr="00B54C5F">
        <w:rPr>
          <w:rFonts w:ascii="Arial" w:hAnsi="Arial" w:cs="Arial" w:hint="cs"/>
          <w:rtl/>
        </w:rPr>
        <w:t xml:space="preserve"> </w:t>
      </w:r>
      <w:r w:rsidRPr="00B54C5F">
        <w:rPr>
          <w:rFonts w:ascii="Arial" w:hAnsi="Arial" w:cs="Arial"/>
          <w:b/>
          <w:bCs/>
          <w:rtl/>
        </w:rPr>
        <w:t>–</w:t>
      </w:r>
      <w:r w:rsidRPr="00B54C5F">
        <w:rPr>
          <w:rFonts w:ascii="Arial" w:hAnsi="Arial" w:cs="Arial" w:hint="cs"/>
          <w:b/>
          <w:bCs/>
          <w:rtl/>
        </w:rPr>
        <w:t xml:space="preserve"> </w:t>
      </w:r>
      <w:r w:rsidRPr="00B54C5F">
        <w:rPr>
          <w:rFonts w:ascii="Arial" w:hAnsi="Arial" w:cs="Arial" w:hint="cs"/>
          <w:b/>
          <w:bCs/>
          <w:rtl/>
        </w:rPr>
        <w:t>أضيف  بمقتضى الأمر</w:t>
      </w:r>
      <w:r w:rsidRPr="00B54C5F">
        <w:rPr>
          <w:rFonts w:ascii="Arial" w:hAnsi="Arial" w:cs="Arial"/>
          <w:b/>
          <w:bCs/>
          <w:rtl/>
        </w:rPr>
        <w:t xml:space="preserve"> </w:t>
      </w:r>
      <w:r w:rsidRPr="00B54C5F">
        <w:rPr>
          <w:rFonts w:ascii="Arial" w:hAnsi="Arial" w:cs="Arial" w:hint="cs"/>
          <w:b/>
          <w:bCs/>
          <w:rtl/>
        </w:rPr>
        <w:t>عدد</w:t>
      </w:r>
      <w:r w:rsidRPr="00B54C5F">
        <w:rPr>
          <w:rFonts w:ascii="Arial" w:hAnsi="Arial" w:cs="Arial"/>
          <w:b/>
          <w:bCs/>
          <w:rtl/>
        </w:rPr>
        <w:t xml:space="preserve"> 1733 </w:t>
      </w:r>
      <w:r w:rsidRPr="00B54C5F">
        <w:rPr>
          <w:rFonts w:ascii="Arial" w:hAnsi="Arial" w:cs="Arial" w:hint="cs"/>
          <w:b/>
          <w:bCs/>
          <w:rtl/>
        </w:rPr>
        <w:t>لسنة</w:t>
      </w:r>
      <w:r w:rsidRPr="00B54C5F">
        <w:rPr>
          <w:rFonts w:ascii="Arial" w:hAnsi="Arial" w:cs="Arial"/>
          <w:b/>
          <w:bCs/>
          <w:rtl/>
        </w:rPr>
        <w:t xml:space="preserve"> 2005 </w:t>
      </w:r>
      <w:r w:rsidRPr="00B54C5F">
        <w:rPr>
          <w:rFonts w:ascii="Arial" w:hAnsi="Arial" w:cs="Arial" w:hint="cs"/>
          <w:b/>
          <w:bCs/>
          <w:rtl/>
        </w:rPr>
        <w:t>المؤرخ</w:t>
      </w:r>
      <w:r w:rsidRPr="00B54C5F">
        <w:rPr>
          <w:rFonts w:ascii="Arial" w:hAnsi="Arial" w:cs="Arial"/>
          <w:b/>
          <w:bCs/>
          <w:rtl/>
        </w:rPr>
        <w:t xml:space="preserve"> </w:t>
      </w:r>
      <w:r w:rsidRPr="00B54C5F">
        <w:rPr>
          <w:rFonts w:ascii="Arial" w:hAnsi="Arial" w:cs="Arial" w:hint="cs"/>
          <w:b/>
          <w:bCs/>
          <w:rtl/>
        </w:rPr>
        <w:t>في</w:t>
      </w:r>
      <w:r w:rsidRPr="00B54C5F">
        <w:rPr>
          <w:rFonts w:ascii="Arial" w:hAnsi="Arial" w:cs="Arial"/>
          <w:b/>
          <w:bCs/>
          <w:rtl/>
        </w:rPr>
        <w:t xml:space="preserve"> 13 </w:t>
      </w:r>
      <w:r w:rsidRPr="00B54C5F">
        <w:rPr>
          <w:rFonts w:ascii="Arial" w:hAnsi="Arial" w:cs="Arial" w:hint="cs"/>
          <w:b/>
          <w:bCs/>
          <w:rtl/>
        </w:rPr>
        <w:t>جوان</w:t>
      </w:r>
      <w:r w:rsidRPr="00B54C5F">
        <w:rPr>
          <w:rFonts w:ascii="Arial" w:hAnsi="Arial" w:cs="Arial"/>
          <w:b/>
          <w:bCs/>
        </w:rPr>
        <w:t xml:space="preserve"> – </w:t>
      </w:r>
      <w:r w:rsidRPr="00B54C5F">
        <w:rPr>
          <w:rFonts w:ascii="Arial" w:hAnsi="Arial" w:cs="Arial" w:hint="cs"/>
          <w:rtl/>
          <w:lang w:bidi="ar-TN"/>
        </w:rPr>
        <w:t>في</w:t>
      </w:r>
      <w:r w:rsidRPr="00B54C5F">
        <w:rPr>
          <w:rFonts w:ascii="Arial" w:hAnsi="Arial" w:cs="Arial"/>
          <w:rtl/>
        </w:rPr>
        <w:t xml:space="preserve"> </w:t>
      </w:r>
      <w:r w:rsidRPr="00B54C5F">
        <w:rPr>
          <w:rFonts w:ascii="Arial" w:hAnsi="Arial" w:cs="Arial" w:hint="cs"/>
          <w:rtl/>
        </w:rPr>
        <w:t>صورة</w:t>
      </w:r>
      <w:r w:rsidRPr="00B54C5F">
        <w:rPr>
          <w:rFonts w:ascii="Arial" w:hAnsi="Arial" w:cs="Arial"/>
          <w:rtl/>
        </w:rPr>
        <w:t xml:space="preserve"> </w:t>
      </w:r>
      <w:r w:rsidRPr="00B54C5F">
        <w:rPr>
          <w:rFonts w:ascii="Arial" w:hAnsi="Arial" w:cs="Arial" w:hint="cs"/>
          <w:rtl/>
        </w:rPr>
        <w:t>تحمل</w:t>
      </w:r>
      <w:r w:rsidRPr="00B54C5F">
        <w:rPr>
          <w:rFonts w:ascii="Arial" w:hAnsi="Arial" w:cs="Arial"/>
          <w:rtl/>
        </w:rPr>
        <w:t xml:space="preserve"> </w:t>
      </w:r>
      <w:r w:rsidRPr="00B54C5F">
        <w:rPr>
          <w:rFonts w:ascii="Arial" w:hAnsi="Arial" w:cs="Arial" w:hint="cs"/>
          <w:rtl/>
        </w:rPr>
        <w:t>دولة</w:t>
      </w:r>
      <w:r w:rsidRPr="00B54C5F">
        <w:rPr>
          <w:rFonts w:ascii="Arial" w:hAnsi="Arial" w:cs="Arial"/>
          <w:rtl/>
        </w:rPr>
        <w:t xml:space="preserve"> </w:t>
      </w:r>
      <w:r w:rsidRPr="00B54C5F">
        <w:rPr>
          <w:rFonts w:ascii="Arial" w:hAnsi="Arial" w:cs="Arial" w:hint="cs"/>
          <w:rtl/>
        </w:rPr>
        <w:t>أو</w:t>
      </w:r>
      <w:r w:rsidRPr="00B54C5F">
        <w:rPr>
          <w:rFonts w:ascii="Arial" w:hAnsi="Arial" w:cs="Arial"/>
          <w:rtl/>
        </w:rPr>
        <w:t xml:space="preserve"> </w:t>
      </w:r>
      <w:r w:rsidRPr="00B54C5F">
        <w:rPr>
          <w:rFonts w:ascii="Arial" w:hAnsi="Arial" w:cs="Arial" w:hint="cs"/>
          <w:rtl/>
        </w:rPr>
        <w:t>مجموعة</w:t>
      </w:r>
      <w:r w:rsidRPr="00B54C5F">
        <w:rPr>
          <w:rFonts w:ascii="Arial" w:hAnsi="Arial" w:cs="Arial"/>
          <w:rtl/>
        </w:rPr>
        <w:t xml:space="preserve"> </w:t>
      </w:r>
      <w:r w:rsidRPr="00B54C5F">
        <w:rPr>
          <w:rFonts w:ascii="Arial" w:hAnsi="Arial" w:cs="Arial" w:hint="cs"/>
          <w:rtl/>
        </w:rPr>
        <w:t>أو</w:t>
      </w:r>
      <w:r w:rsidRPr="00B54C5F">
        <w:rPr>
          <w:rFonts w:ascii="Arial" w:hAnsi="Arial" w:cs="Arial"/>
          <w:rtl/>
        </w:rPr>
        <w:t xml:space="preserve"> </w:t>
      </w:r>
      <w:r w:rsidRPr="00B54C5F">
        <w:rPr>
          <w:rFonts w:ascii="Arial" w:hAnsi="Arial" w:cs="Arial" w:hint="cs"/>
          <w:rtl/>
        </w:rPr>
        <w:t>مؤسسة</w:t>
      </w:r>
      <w:r w:rsidRPr="00B54C5F">
        <w:rPr>
          <w:rFonts w:ascii="Arial" w:hAnsi="Arial" w:cs="Arial"/>
          <w:rtl/>
        </w:rPr>
        <w:t xml:space="preserve"> </w:t>
      </w:r>
      <w:r w:rsidRPr="00B54C5F">
        <w:rPr>
          <w:rFonts w:ascii="Arial" w:hAnsi="Arial" w:cs="Arial" w:hint="cs"/>
          <w:rtl/>
        </w:rPr>
        <w:t>أجنبية</w:t>
      </w:r>
      <w:r w:rsidRPr="00B54C5F">
        <w:rPr>
          <w:rFonts w:ascii="Arial" w:hAnsi="Arial" w:cs="Arial"/>
          <w:rtl/>
        </w:rPr>
        <w:t xml:space="preserve"> </w:t>
      </w:r>
      <w:r w:rsidRPr="00B54C5F">
        <w:rPr>
          <w:rFonts w:ascii="Arial" w:hAnsi="Arial" w:cs="Arial" w:hint="cs"/>
          <w:rtl/>
        </w:rPr>
        <w:t>لمصاريف</w:t>
      </w:r>
      <w:r w:rsidRPr="00B54C5F">
        <w:rPr>
          <w:rFonts w:ascii="Arial" w:hAnsi="Arial" w:cs="Arial"/>
          <w:rtl/>
        </w:rPr>
        <w:t xml:space="preserve"> </w:t>
      </w:r>
      <w:r w:rsidRPr="00B54C5F">
        <w:rPr>
          <w:rFonts w:ascii="Arial" w:hAnsi="Arial" w:cs="Arial" w:hint="cs"/>
          <w:rtl/>
        </w:rPr>
        <w:t>الإقامة،</w:t>
      </w:r>
      <w:r w:rsidRPr="00B54C5F">
        <w:rPr>
          <w:rFonts w:ascii="Arial" w:hAnsi="Arial" w:cs="Arial"/>
          <w:rtl/>
        </w:rPr>
        <w:t xml:space="preserve"> </w:t>
      </w:r>
      <w:r w:rsidRPr="00B54C5F">
        <w:rPr>
          <w:rFonts w:ascii="Arial" w:hAnsi="Arial" w:cs="Arial" w:hint="cs"/>
          <w:rtl/>
        </w:rPr>
        <w:t>يسند</w:t>
      </w:r>
      <w:r w:rsidRPr="00B54C5F">
        <w:rPr>
          <w:rFonts w:ascii="Arial" w:hAnsi="Arial" w:cs="Arial"/>
          <w:rtl/>
        </w:rPr>
        <w:t xml:space="preserve"> </w:t>
      </w:r>
      <w:r w:rsidRPr="00B54C5F">
        <w:rPr>
          <w:rFonts w:ascii="Arial" w:hAnsi="Arial" w:cs="Arial" w:hint="cs"/>
          <w:rtl/>
        </w:rPr>
        <w:t>إلى</w:t>
      </w:r>
      <w:r w:rsidRPr="00B54C5F">
        <w:rPr>
          <w:rFonts w:ascii="Arial" w:hAnsi="Arial" w:cs="Arial"/>
          <w:rtl/>
        </w:rPr>
        <w:t xml:space="preserve"> </w:t>
      </w:r>
      <w:r w:rsidRPr="00B54C5F">
        <w:rPr>
          <w:rFonts w:ascii="Arial" w:hAnsi="Arial" w:cs="Arial" w:hint="cs"/>
          <w:rtl/>
        </w:rPr>
        <w:t>المعني</w:t>
      </w:r>
      <w:r w:rsidRPr="00B54C5F">
        <w:rPr>
          <w:rFonts w:ascii="Arial" w:hAnsi="Arial" w:cs="Arial"/>
          <w:rtl/>
        </w:rPr>
        <w:t xml:space="preserve"> </w:t>
      </w:r>
      <w:r w:rsidRPr="00B54C5F">
        <w:rPr>
          <w:rFonts w:ascii="Arial" w:hAnsi="Arial" w:cs="Arial" w:hint="cs"/>
          <w:rtl/>
        </w:rPr>
        <w:t>بالأمر</w:t>
      </w:r>
      <w:r w:rsidRPr="00B54C5F">
        <w:rPr>
          <w:rFonts w:ascii="Arial" w:hAnsi="Arial" w:cs="Arial"/>
          <w:rtl/>
        </w:rPr>
        <w:t xml:space="preserve"> </w:t>
      </w:r>
      <w:r w:rsidRPr="00B54C5F">
        <w:rPr>
          <w:rFonts w:ascii="Arial" w:hAnsi="Arial" w:cs="Arial" w:hint="cs"/>
          <w:rtl/>
        </w:rPr>
        <w:t>ثلث</w:t>
      </w:r>
      <w:r w:rsidRPr="00B54C5F">
        <w:rPr>
          <w:rFonts w:ascii="Arial" w:hAnsi="Arial" w:cs="Arial"/>
          <w:rtl/>
        </w:rPr>
        <w:t xml:space="preserve"> </w:t>
      </w:r>
      <w:r w:rsidRPr="00B54C5F">
        <w:rPr>
          <w:rFonts w:ascii="Arial" w:hAnsi="Arial" w:cs="Arial" w:hint="cs"/>
          <w:rtl/>
        </w:rPr>
        <w:t>مقدار</w:t>
      </w:r>
      <w:r w:rsidRPr="00B54C5F">
        <w:rPr>
          <w:rFonts w:ascii="Arial" w:hAnsi="Arial" w:cs="Arial"/>
          <w:rtl/>
        </w:rPr>
        <w:t xml:space="preserve"> </w:t>
      </w:r>
      <w:r w:rsidRPr="00B54C5F">
        <w:rPr>
          <w:rFonts w:ascii="Arial" w:hAnsi="Arial" w:cs="Arial" w:hint="cs"/>
          <w:rtl/>
        </w:rPr>
        <w:t>المنحة</w:t>
      </w:r>
      <w:r w:rsidRPr="00B54C5F">
        <w:rPr>
          <w:rFonts w:ascii="Arial" w:hAnsi="Arial" w:cs="Arial"/>
          <w:rtl/>
        </w:rPr>
        <w:t xml:space="preserve"> </w:t>
      </w:r>
      <w:r w:rsidRPr="00B54C5F">
        <w:rPr>
          <w:rFonts w:ascii="Arial" w:hAnsi="Arial" w:cs="Arial" w:hint="cs"/>
          <w:rtl/>
        </w:rPr>
        <w:t>اليومية</w:t>
      </w:r>
      <w:r w:rsidRPr="00B54C5F">
        <w:rPr>
          <w:rFonts w:ascii="Arial" w:hAnsi="Arial" w:cs="Arial"/>
          <w:rtl/>
        </w:rPr>
        <w:t xml:space="preserve"> </w:t>
      </w:r>
      <w:r w:rsidRPr="00B54C5F">
        <w:rPr>
          <w:rFonts w:ascii="Arial" w:hAnsi="Arial" w:cs="Arial" w:hint="cs"/>
          <w:rtl/>
        </w:rPr>
        <w:t>الراجعة</w:t>
      </w:r>
      <w:r w:rsidRPr="00B54C5F">
        <w:rPr>
          <w:rFonts w:ascii="Arial" w:hAnsi="Arial" w:cs="Arial"/>
          <w:rtl/>
        </w:rPr>
        <w:t xml:space="preserve"> </w:t>
      </w:r>
      <w:r w:rsidRPr="00B54C5F">
        <w:rPr>
          <w:rFonts w:ascii="Arial" w:hAnsi="Arial" w:cs="Arial" w:hint="cs"/>
          <w:rtl/>
        </w:rPr>
        <w:t>إليه</w:t>
      </w:r>
      <w:r w:rsidRPr="00B54C5F">
        <w:rPr>
          <w:rFonts w:ascii="Arial" w:hAnsi="Arial" w:cs="Arial"/>
          <w:rtl/>
        </w:rPr>
        <w:t xml:space="preserve">. </w:t>
      </w:r>
      <w:r w:rsidRPr="00B54C5F">
        <w:rPr>
          <w:rFonts w:ascii="Arial" w:hAnsi="Arial" w:cs="Arial" w:hint="cs"/>
          <w:rtl/>
        </w:rPr>
        <w:t>وفي</w:t>
      </w:r>
      <w:r w:rsidRPr="00B54C5F">
        <w:rPr>
          <w:rFonts w:ascii="Arial" w:hAnsi="Arial" w:cs="Arial"/>
          <w:rtl/>
        </w:rPr>
        <w:t xml:space="preserve"> </w:t>
      </w:r>
      <w:r w:rsidRPr="00B54C5F">
        <w:rPr>
          <w:rFonts w:ascii="Arial" w:hAnsi="Arial" w:cs="Arial" w:hint="cs"/>
          <w:rtl/>
        </w:rPr>
        <w:t>صورة</w:t>
      </w:r>
      <w:r w:rsidRPr="00B54C5F">
        <w:rPr>
          <w:rFonts w:ascii="Arial" w:hAnsi="Arial" w:cs="Arial"/>
          <w:rtl/>
        </w:rPr>
        <w:t xml:space="preserve"> </w:t>
      </w:r>
      <w:r w:rsidRPr="00B54C5F">
        <w:rPr>
          <w:rFonts w:ascii="Arial" w:hAnsi="Arial" w:cs="Arial" w:hint="cs"/>
          <w:rtl/>
        </w:rPr>
        <w:t>تحمل</w:t>
      </w:r>
      <w:r w:rsidRPr="00B54C5F">
        <w:rPr>
          <w:rFonts w:ascii="Arial" w:hAnsi="Arial" w:cs="Arial"/>
          <w:rtl/>
        </w:rPr>
        <w:t xml:space="preserve"> </w:t>
      </w:r>
      <w:r w:rsidRPr="00B54C5F">
        <w:rPr>
          <w:rFonts w:ascii="Arial" w:hAnsi="Arial" w:cs="Arial" w:hint="cs"/>
          <w:rtl/>
        </w:rPr>
        <w:t>الجهة</w:t>
      </w:r>
      <w:r w:rsidRPr="00B54C5F">
        <w:rPr>
          <w:rFonts w:ascii="Arial" w:hAnsi="Arial" w:cs="Arial"/>
          <w:rtl/>
        </w:rPr>
        <w:t xml:space="preserve"> </w:t>
      </w:r>
      <w:r w:rsidRPr="00B54C5F">
        <w:rPr>
          <w:rFonts w:ascii="Arial" w:hAnsi="Arial" w:cs="Arial" w:hint="cs"/>
          <w:rtl/>
        </w:rPr>
        <w:t>الأجنبية</w:t>
      </w:r>
      <w:r w:rsidRPr="00B54C5F">
        <w:rPr>
          <w:rFonts w:ascii="Arial" w:hAnsi="Arial" w:cs="Arial"/>
          <w:rtl/>
        </w:rPr>
        <w:t xml:space="preserve"> </w:t>
      </w:r>
      <w:r w:rsidRPr="00B54C5F">
        <w:rPr>
          <w:rFonts w:ascii="Arial" w:hAnsi="Arial" w:cs="Arial" w:hint="cs"/>
          <w:rtl/>
        </w:rPr>
        <w:t>لمصاريف</w:t>
      </w:r>
      <w:r w:rsidRPr="00B54C5F">
        <w:rPr>
          <w:rFonts w:ascii="Arial" w:hAnsi="Arial" w:cs="Arial"/>
          <w:rtl/>
        </w:rPr>
        <w:t xml:space="preserve"> </w:t>
      </w:r>
      <w:r w:rsidRPr="00B54C5F">
        <w:rPr>
          <w:rFonts w:ascii="Arial" w:hAnsi="Arial" w:cs="Arial" w:hint="cs"/>
          <w:rtl/>
        </w:rPr>
        <w:t>السكن</w:t>
      </w:r>
      <w:r w:rsidRPr="00B54C5F">
        <w:rPr>
          <w:rFonts w:ascii="Arial" w:hAnsi="Arial" w:cs="Arial"/>
          <w:rtl/>
        </w:rPr>
        <w:t xml:space="preserve"> </w:t>
      </w:r>
      <w:r w:rsidRPr="00B54C5F">
        <w:rPr>
          <w:rFonts w:ascii="Arial" w:hAnsi="Arial" w:cs="Arial" w:hint="cs"/>
          <w:rtl/>
        </w:rPr>
        <w:t>فحسب</w:t>
      </w:r>
      <w:r w:rsidRPr="00B54C5F">
        <w:rPr>
          <w:rFonts w:ascii="Arial" w:hAnsi="Arial" w:cs="Arial"/>
          <w:rtl/>
        </w:rPr>
        <w:t xml:space="preserve"> </w:t>
      </w:r>
      <w:r w:rsidRPr="00B54C5F">
        <w:rPr>
          <w:rFonts w:ascii="Arial" w:hAnsi="Arial" w:cs="Arial" w:hint="cs"/>
          <w:rtl/>
        </w:rPr>
        <w:t>يسند</w:t>
      </w:r>
      <w:r w:rsidRPr="00B54C5F">
        <w:rPr>
          <w:rFonts w:ascii="Arial" w:hAnsi="Arial" w:cs="Arial"/>
          <w:rtl/>
        </w:rPr>
        <w:t xml:space="preserve"> </w:t>
      </w:r>
      <w:r w:rsidRPr="00B54C5F">
        <w:rPr>
          <w:rFonts w:ascii="Arial" w:hAnsi="Arial" w:cs="Arial" w:hint="cs"/>
          <w:rtl/>
        </w:rPr>
        <w:t>إلى</w:t>
      </w:r>
      <w:r w:rsidRPr="00B54C5F">
        <w:rPr>
          <w:rFonts w:ascii="Arial" w:hAnsi="Arial" w:cs="Arial"/>
          <w:rtl/>
        </w:rPr>
        <w:t xml:space="preserve"> </w:t>
      </w:r>
      <w:r w:rsidRPr="00B54C5F">
        <w:rPr>
          <w:rFonts w:ascii="Arial" w:hAnsi="Arial" w:cs="Arial" w:hint="cs"/>
          <w:rtl/>
        </w:rPr>
        <w:t>المعني</w:t>
      </w:r>
      <w:r w:rsidRPr="00B54C5F">
        <w:rPr>
          <w:rFonts w:ascii="Arial" w:hAnsi="Arial" w:cs="Arial"/>
          <w:rtl/>
        </w:rPr>
        <w:t xml:space="preserve"> </w:t>
      </w:r>
      <w:r w:rsidRPr="00B54C5F">
        <w:rPr>
          <w:rFonts w:ascii="Arial" w:hAnsi="Arial" w:cs="Arial" w:hint="cs"/>
          <w:rtl/>
        </w:rPr>
        <w:t>بالأمر</w:t>
      </w:r>
      <w:r w:rsidRPr="00B54C5F">
        <w:rPr>
          <w:rFonts w:ascii="Arial" w:hAnsi="Arial" w:cs="Arial"/>
          <w:rtl/>
        </w:rPr>
        <w:t xml:space="preserve"> </w:t>
      </w:r>
      <w:r w:rsidRPr="00B54C5F">
        <w:rPr>
          <w:rFonts w:ascii="Arial" w:hAnsi="Arial" w:cs="Arial" w:hint="cs"/>
          <w:rtl/>
        </w:rPr>
        <w:t>نصف</w:t>
      </w:r>
      <w:r w:rsidRPr="00B54C5F">
        <w:rPr>
          <w:rFonts w:ascii="Arial" w:hAnsi="Arial" w:cs="Arial"/>
          <w:rtl/>
        </w:rPr>
        <w:t xml:space="preserve"> </w:t>
      </w:r>
      <w:r w:rsidRPr="00B54C5F">
        <w:rPr>
          <w:rFonts w:ascii="Arial" w:hAnsi="Arial" w:cs="Arial" w:hint="cs"/>
          <w:rtl/>
        </w:rPr>
        <w:t>مقدار</w:t>
      </w:r>
      <w:r w:rsidRPr="00B54C5F">
        <w:rPr>
          <w:rFonts w:ascii="Arial" w:hAnsi="Arial" w:cs="Arial"/>
          <w:rtl/>
        </w:rPr>
        <w:t xml:space="preserve"> </w:t>
      </w:r>
      <w:r w:rsidRPr="00B54C5F">
        <w:rPr>
          <w:rFonts w:ascii="Arial" w:hAnsi="Arial" w:cs="Arial" w:hint="cs"/>
          <w:rtl/>
        </w:rPr>
        <w:t>المنحة</w:t>
      </w:r>
      <w:r w:rsidRPr="00B54C5F">
        <w:rPr>
          <w:rFonts w:ascii="Arial" w:hAnsi="Arial" w:cs="Arial"/>
          <w:rtl/>
        </w:rPr>
        <w:t xml:space="preserve"> </w:t>
      </w:r>
      <w:r w:rsidRPr="00B54C5F">
        <w:rPr>
          <w:rFonts w:ascii="Arial" w:hAnsi="Arial" w:cs="Arial" w:hint="cs"/>
          <w:rtl/>
        </w:rPr>
        <w:t>اليومية</w:t>
      </w:r>
      <w:r w:rsidRPr="00B54C5F">
        <w:rPr>
          <w:rFonts w:ascii="Arial" w:hAnsi="Arial" w:cs="Arial"/>
        </w:rPr>
        <w:t>.</w:t>
      </w:r>
    </w:p>
    <w:p w:rsidR="000944AB" w:rsidRPr="00B54C5F" w:rsidRDefault="000944AB" w:rsidP="00B54C5F">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 xml:space="preserve">الفصل </w:t>
      </w:r>
      <w:r w:rsidR="00726FBA" w:rsidRPr="00B54C5F">
        <w:rPr>
          <w:rFonts w:ascii="Arial" w:hAnsi="Arial" w:cs="Arial"/>
          <w:b/>
          <w:bCs/>
          <w:rtl/>
          <w:lang w:bidi="ar-TN"/>
        </w:rPr>
        <w:t>13 –</w:t>
      </w:r>
      <w:r w:rsidRPr="00B54C5F">
        <w:rPr>
          <w:rFonts w:ascii="Arial" w:hAnsi="Arial" w:cs="Arial"/>
          <w:rtl/>
          <w:lang w:bidi="ar-TN"/>
        </w:rPr>
        <w:t xml:space="preserve"> تتم التنقلات بعنوان القيام بمأمورية بواسطة وسيلة نقل توفر المسلك الأكثر مباشرة والأقل سعرا لبلوغ الوجهة المقصودة</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rtl/>
          <w:lang w:bidi="ar-TN"/>
        </w:rPr>
        <w:t>وفي كل الحالات يتعين ألا تفوق كلفة السفر المنجزة بواسطة وسيلة نقل غير الطائرة كلفة السفر جوا</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الفصل 14 ـ</w:t>
      </w:r>
      <w:r w:rsidRPr="00B54C5F">
        <w:rPr>
          <w:rFonts w:ascii="Arial" w:hAnsi="Arial" w:cs="Arial"/>
          <w:rtl/>
          <w:lang w:bidi="ar-TN"/>
        </w:rPr>
        <w:t xml:space="preserve"> ينتفع الأعوان المدعوون للقيام بمأمورية بالخارج بنظام خاص للتأمين يغطي الوفاة أو مخاطر العجز المستمر والتام أو العجز المستمر والجزئي المترتبة عن الحوادث الجسدية وكذلك مخاطر الإصابة بمرض مدة القيام بمأمورية بالخارج</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 xml:space="preserve">الفصل </w:t>
      </w:r>
      <w:r w:rsidR="00726FBA" w:rsidRPr="00B54C5F">
        <w:rPr>
          <w:rFonts w:ascii="Arial" w:hAnsi="Arial" w:cs="Arial"/>
          <w:b/>
          <w:bCs/>
          <w:rtl/>
          <w:lang w:bidi="ar-TN"/>
        </w:rPr>
        <w:t>15 –</w:t>
      </w:r>
      <w:r w:rsidRPr="00B54C5F">
        <w:rPr>
          <w:rFonts w:ascii="Arial" w:hAnsi="Arial" w:cs="Arial"/>
          <w:rtl/>
          <w:lang w:bidi="ar-TN"/>
        </w:rPr>
        <w:t xml:space="preserve"> تضبط الخدمات والصيغ والإجراءات الخاصة بتحمل المصاريف المنجرة عن الأمراض أو الحوادث المنصوص عليها بالفصل 14 من هذا الأمر بواسطة عقد تأمين إطاري لدى مؤسسات تأمين تبرمه الدولة والجماعات المحلية والمؤسسات العمومية ذات الصبغة الإدارية والمؤسسات والمنشآت العمومية لفائدة أعوانها المدعوين للقيام بمأمورية بالخارج</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 xml:space="preserve">الفصل </w:t>
      </w:r>
      <w:r w:rsidR="00726FBA" w:rsidRPr="00B54C5F">
        <w:rPr>
          <w:rFonts w:ascii="Arial" w:hAnsi="Arial" w:cs="Arial"/>
          <w:b/>
          <w:bCs/>
          <w:rtl/>
          <w:lang w:bidi="ar-TN"/>
        </w:rPr>
        <w:t>16 –</w:t>
      </w:r>
      <w:r w:rsidRPr="00B54C5F">
        <w:rPr>
          <w:rFonts w:ascii="Arial" w:hAnsi="Arial" w:cs="Arial"/>
          <w:rtl/>
          <w:lang w:bidi="ar-TN"/>
        </w:rPr>
        <w:t xml:space="preserve"> عند نهاية كل مأمورية وفي حدود الثمانية أيام التي تلي رجوع العون المعني من الخارج يتعين عليه أن يسلم لرئيسه المباشر تقريرا عن المأمورية التي قام بها وترسل نسخة منه إلى الوزارة الأولى</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rtl/>
          <w:lang w:bidi="ar-TN"/>
        </w:rPr>
        <w:t>ويتعين على الوزارات والجماعات المحلية والمؤسسات المعنية أن ترسل إلى الوزارة الأولى كل ثلاثة أشهر قائمة في المأموريات التي تم القيام بها وكذلك في المصاريف المنجرة عنها</w:t>
      </w:r>
      <w:r w:rsidRPr="00B54C5F">
        <w:rPr>
          <w:rFonts w:ascii="Arial" w:hAnsi="Arial" w:cs="Arial"/>
          <w:lang w:bidi="ar-TN"/>
        </w:rPr>
        <w:t>.</w:t>
      </w:r>
    </w:p>
    <w:p w:rsidR="000944AB" w:rsidRPr="00B54C5F" w:rsidRDefault="000944AB" w:rsidP="00726FBA">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 xml:space="preserve">الفصل </w:t>
      </w:r>
      <w:r w:rsidR="00726FBA" w:rsidRPr="00B54C5F">
        <w:rPr>
          <w:rFonts w:ascii="Arial" w:hAnsi="Arial" w:cs="Arial"/>
          <w:b/>
          <w:bCs/>
          <w:rtl/>
          <w:lang w:bidi="ar-TN"/>
        </w:rPr>
        <w:t>17 –</w:t>
      </w:r>
      <w:r w:rsidRPr="00B54C5F">
        <w:rPr>
          <w:rFonts w:ascii="Arial" w:hAnsi="Arial" w:cs="Arial"/>
          <w:rtl/>
          <w:lang w:bidi="ar-TN"/>
        </w:rPr>
        <w:t xml:space="preserve"> يمكن أن تصرف للأعوان إذا طلبوا ذلك تسبقة بعنوان المنحة اليومية للقيام بمأمورية وعند الاقتضاء بعنوان تغطية نفقات السكن مثلما نص عليه الفصل 8 من هذا الأمر وكذلك المصاريف الأخرى المنصوص عليها بهذا الأمر في حدود كامل المبلغ الراجع للمعني بالأمر</w:t>
      </w:r>
      <w:r w:rsidR="00726FBA" w:rsidRPr="00B54C5F">
        <w:rPr>
          <w:rFonts w:ascii="Arial" w:hAnsi="Arial" w:cs="Arial"/>
          <w:rt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rtl/>
          <w:lang w:bidi="ar-TN"/>
        </w:rPr>
        <w:t>ويتم في هذه الصورة خصم مقدار التسبقة من الإذن بالدفع للمعني بالأمر عند نهاية المأمورية مصحوبا إن اقتضى الأمر بالوثائق والحجج المؤيدة للدفع</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rtl/>
          <w:lang w:bidi="ar-TN"/>
        </w:rPr>
        <w:t>وفي كل الحالات تتم تسوية التسبقة في أجل أقصاه ثلاثة أشهر من تاريخ إسناد التسبقة</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rtl/>
          <w:lang w:bidi="ar-TN"/>
        </w:rPr>
        <w:t>وعند انقضاء هذا الأجل يتولى الأمين العام للمصاريف أو المحاسب المعني حجز مقدار هذه التسبقة من مرتب العون المعني بالأمر</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 xml:space="preserve">الفصل </w:t>
      </w:r>
      <w:r w:rsidR="00726FBA" w:rsidRPr="00B54C5F">
        <w:rPr>
          <w:rFonts w:ascii="Arial" w:hAnsi="Arial" w:cs="Arial"/>
          <w:b/>
          <w:bCs/>
          <w:rtl/>
          <w:lang w:bidi="ar-TN"/>
        </w:rPr>
        <w:t>18 –</w:t>
      </w:r>
      <w:r w:rsidRPr="00B54C5F">
        <w:rPr>
          <w:rFonts w:ascii="Arial" w:hAnsi="Arial" w:cs="Arial"/>
          <w:rtl/>
          <w:lang w:bidi="ar-TN"/>
        </w:rPr>
        <w:t xml:space="preserve"> ألغيت جميع الأحكام السابقة والمخالفة لهذا الأمر وخاصة الأمر عدد 2143 لسنة 1990 المؤرخ في 19 ديسمبر 1990، كما تم تنقيحه بالأمر عدد 980 لسنة 1993 المؤرخ في 3 ماي 1993 والأمر عدد 2128 لسنة 1997 المؤرخ في 10 نوفمبر 1997</w:t>
      </w:r>
      <w:r w:rsidRPr="00B54C5F">
        <w:rPr>
          <w:rFonts w:ascii="Arial" w:hAnsi="Arial" w:cs="Arial"/>
          <w:lang w:bidi="ar-TN"/>
        </w:rPr>
        <w:t>.</w:t>
      </w:r>
    </w:p>
    <w:p w:rsidR="000944AB" w:rsidRPr="00B54C5F" w:rsidRDefault="000944AB" w:rsidP="000944AB">
      <w:pPr>
        <w:bidi/>
        <w:spacing w:before="100" w:beforeAutospacing="1" w:after="0" w:line="240" w:lineRule="auto"/>
        <w:ind w:left="284"/>
        <w:jc w:val="both"/>
        <w:rPr>
          <w:rFonts w:ascii="Arial" w:hAnsi="Arial" w:cs="Arial"/>
          <w:rtl/>
          <w:lang w:bidi="ar-TN"/>
        </w:rPr>
      </w:pPr>
      <w:r w:rsidRPr="00B54C5F">
        <w:rPr>
          <w:rFonts w:ascii="Arial" w:hAnsi="Arial" w:cs="Arial"/>
          <w:b/>
          <w:bCs/>
          <w:rtl/>
          <w:lang w:bidi="ar-TN"/>
        </w:rPr>
        <w:t xml:space="preserve">الفصل </w:t>
      </w:r>
      <w:r w:rsidR="00726FBA" w:rsidRPr="00B54C5F">
        <w:rPr>
          <w:rFonts w:ascii="Arial" w:hAnsi="Arial" w:cs="Arial"/>
          <w:b/>
          <w:bCs/>
          <w:rtl/>
          <w:lang w:bidi="ar-TN"/>
        </w:rPr>
        <w:t>19 –</w:t>
      </w:r>
      <w:r w:rsidRPr="00B54C5F">
        <w:rPr>
          <w:rFonts w:ascii="Arial" w:hAnsi="Arial" w:cs="Arial"/>
          <w:rtl/>
          <w:lang w:bidi="ar-TN"/>
        </w:rPr>
        <w:t xml:space="preserve"> الوزير الأول والوزراء وكتاب الدولة مكلفون، كل فيما يخصه، بتنفيذ هذا الأمر الذي ينشر بالرائد الرسمي للجمهورية التونسية</w:t>
      </w:r>
      <w:r w:rsidRPr="00B54C5F">
        <w:rPr>
          <w:rFonts w:ascii="Arial" w:hAnsi="Arial" w:cs="Arial"/>
          <w:lang w:bidi="ar-TN"/>
        </w:rPr>
        <w:t>.</w:t>
      </w:r>
    </w:p>
    <w:p w:rsidR="00547E2F" w:rsidRPr="00B54C5F" w:rsidRDefault="000944AB" w:rsidP="00726FBA">
      <w:pPr>
        <w:bidi/>
        <w:spacing w:before="100" w:beforeAutospacing="1" w:after="0" w:line="240" w:lineRule="auto"/>
        <w:ind w:left="284"/>
        <w:jc w:val="both"/>
        <w:rPr>
          <w:rFonts w:ascii="Arial" w:hAnsi="Arial" w:cs="Arial"/>
          <w:b/>
          <w:bCs/>
          <w:rtl/>
          <w:lang w:bidi="ar-TN"/>
        </w:rPr>
      </w:pPr>
      <w:r w:rsidRPr="00B54C5F">
        <w:rPr>
          <w:rFonts w:ascii="Arial" w:hAnsi="Arial" w:cs="Arial"/>
          <w:b/>
          <w:bCs/>
          <w:rtl/>
          <w:lang w:bidi="ar-TN"/>
        </w:rPr>
        <w:t>تونس في 22 ماي 2001</w:t>
      </w:r>
      <w:r w:rsidRPr="00B54C5F">
        <w:rPr>
          <w:rFonts w:ascii="Arial" w:hAnsi="Arial" w:cs="Arial"/>
          <w:b/>
          <w:bCs/>
          <w:lang w:bidi="ar-TN"/>
        </w:rPr>
        <w:t>.</w:t>
      </w:r>
    </w:p>
    <w:sectPr w:rsidR="00547E2F" w:rsidRPr="00B54C5F"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14" w:rsidRDefault="00D51714" w:rsidP="008F3F2D">
      <w:r>
        <w:separator/>
      </w:r>
    </w:p>
  </w:endnote>
  <w:endnote w:type="continuationSeparator" w:id="0">
    <w:p w:rsidR="00D51714" w:rsidRDefault="00D5171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Pr="00A91DAC" w:rsidRDefault="00F333B1">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54C5F">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54C5F">
                            <w:rPr>
                              <w:rFonts w:ascii="Arial" w:hAnsi="Arial" w:cs="Arial"/>
                              <w:noProof/>
                              <w:sz w:val="18"/>
                              <w:szCs w:val="18"/>
                            </w:rPr>
                            <w:t>4</w:t>
                          </w:r>
                          <w:r w:rsidRPr="001E5DD5">
                            <w:rPr>
                              <w:rFonts w:ascii="Arial" w:hAnsi="Arial" w:cs="Arial"/>
                              <w:noProof/>
                              <w:sz w:val="18"/>
                              <w:szCs w:val="18"/>
                            </w:rPr>
                            <w:fldChar w:fldCharType="end"/>
                          </w:r>
                        </w:p>
                        <w:p w:rsidR="00F333B1" w:rsidRDefault="00F333B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54C5F">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54C5F">
                      <w:rPr>
                        <w:rFonts w:ascii="Arial" w:hAnsi="Arial" w:cs="Arial"/>
                        <w:noProof/>
                        <w:sz w:val="18"/>
                        <w:szCs w:val="18"/>
                      </w:rPr>
                      <w:t>4</w:t>
                    </w:r>
                    <w:r w:rsidRPr="001E5DD5">
                      <w:rPr>
                        <w:rFonts w:ascii="Arial" w:hAnsi="Arial" w:cs="Arial"/>
                        <w:noProof/>
                        <w:sz w:val="18"/>
                        <w:szCs w:val="18"/>
                      </w:rPr>
                      <w:fldChar w:fldCharType="end"/>
                    </w:r>
                  </w:p>
                  <w:p w:rsidR="00F333B1" w:rsidRDefault="00F333B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5171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5171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5171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5171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14" w:rsidRDefault="00D51714" w:rsidP="00696990">
      <w:pPr>
        <w:bidi/>
        <w:jc w:val="both"/>
      </w:pPr>
      <w:r>
        <w:separator/>
      </w:r>
    </w:p>
  </w:footnote>
  <w:footnote w:type="continuationSeparator" w:id="0">
    <w:p w:rsidR="00D51714" w:rsidRDefault="00D5171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BA"/>
    <w:multiLevelType w:val="hybridMultilevel"/>
    <w:tmpl w:val="A5E858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15:restartNumberingAfterBreak="0">
    <w:nsid w:val="0E40623F"/>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FFA73F9"/>
    <w:multiLevelType w:val="hybridMultilevel"/>
    <w:tmpl w:val="BE100A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1031D43"/>
    <w:multiLevelType w:val="hybridMultilevel"/>
    <w:tmpl w:val="A23C86B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23F240B2"/>
    <w:multiLevelType w:val="hybridMultilevel"/>
    <w:tmpl w:val="56F67EC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27726C28"/>
    <w:multiLevelType w:val="hybridMultilevel"/>
    <w:tmpl w:val="F0E4F9B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9490292"/>
    <w:multiLevelType w:val="hybridMultilevel"/>
    <w:tmpl w:val="790083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F812323"/>
    <w:multiLevelType w:val="hybridMultilevel"/>
    <w:tmpl w:val="69EA9BF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8" w15:restartNumberingAfterBreak="0">
    <w:nsid w:val="31096DB9"/>
    <w:multiLevelType w:val="hybridMultilevel"/>
    <w:tmpl w:val="5484A0F4"/>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 w15:restartNumberingAfterBreak="0">
    <w:nsid w:val="33D36E50"/>
    <w:multiLevelType w:val="hybridMultilevel"/>
    <w:tmpl w:val="7E2252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4A256F7"/>
    <w:multiLevelType w:val="hybridMultilevel"/>
    <w:tmpl w:val="E778A2D4"/>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DE0E4B"/>
    <w:multiLevelType w:val="hybridMultilevel"/>
    <w:tmpl w:val="1786C988"/>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AD7AB1"/>
    <w:multiLevelType w:val="hybridMultilevel"/>
    <w:tmpl w:val="CEECC40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42880E66"/>
    <w:multiLevelType w:val="hybridMultilevel"/>
    <w:tmpl w:val="158E6A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4" w15:restartNumberingAfterBreak="0">
    <w:nsid w:val="46666A06"/>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479A347F"/>
    <w:multiLevelType w:val="hybridMultilevel"/>
    <w:tmpl w:val="5F0828D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 w15:restartNumberingAfterBreak="0">
    <w:nsid w:val="494B0FE0"/>
    <w:multiLevelType w:val="hybridMultilevel"/>
    <w:tmpl w:val="70A4B77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7" w15:restartNumberingAfterBreak="0">
    <w:nsid w:val="53733BCF"/>
    <w:multiLevelType w:val="hybridMultilevel"/>
    <w:tmpl w:val="4854457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8" w15:restartNumberingAfterBreak="0">
    <w:nsid w:val="5BCD19D3"/>
    <w:multiLevelType w:val="hybridMultilevel"/>
    <w:tmpl w:val="C4767E1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 w15:restartNumberingAfterBreak="0">
    <w:nsid w:val="5FA6409B"/>
    <w:multiLevelType w:val="hybridMultilevel"/>
    <w:tmpl w:val="8C26008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0" w15:restartNumberingAfterBreak="0">
    <w:nsid w:val="60BA054C"/>
    <w:multiLevelType w:val="hybridMultilevel"/>
    <w:tmpl w:val="ED6A86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20F70E2"/>
    <w:multiLevelType w:val="hybridMultilevel"/>
    <w:tmpl w:val="C5221A9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2" w15:restartNumberingAfterBreak="0">
    <w:nsid w:val="7C4941FD"/>
    <w:multiLevelType w:val="hybridMultilevel"/>
    <w:tmpl w:val="ADCE6C5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7CA63C12"/>
    <w:multiLevelType w:val="hybridMultilevel"/>
    <w:tmpl w:val="A1FE3B5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num w:numId="1">
    <w:abstractNumId w:val="3"/>
  </w:num>
  <w:num w:numId="2">
    <w:abstractNumId w:val="20"/>
  </w:num>
  <w:num w:numId="3">
    <w:abstractNumId w:val="14"/>
  </w:num>
  <w:num w:numId="4">
    <w:abstractNumId w:val="8"/>
  </w:num>
  <w:num w:numId="5">
    <w:abstractNumId w:val="18"/>
  </w:num>
  <w:num w:numId="6">
    <w:abstractNumId w:val="17"/>
  </w:num>
  <w:num w:numId="7">
    <w:abstractNumId w:val="23"/>
  </w:num>
  <w:num w:numId="8">
    <w:abstractNumId w:val="13"/>
  </w:num>
  <w:num w:numId="9">
    <w:abstractNumId w:val="0"/>
  </w:num>
  <w:num w:numId="10">
    <w:abstractNumId w:val="19"/>
  </w:num>
  <w:num w:numId="11">
    <w:abstractNumId w:val="16"/>
  </w:num>
  <w:num w:numId="12">
    <w:abstractNumId w:val="15"/>
  </w:num>
  <w:num w:numId="13">
    <w:abstractNumId w:val="22"/>
  </w:num>
  <w:num w:numId="14">
    <w:abstractNumId w:val="7"/>
  </w:num>
  <w:num w:numId="15">
    <w:abstractNumId w:val="1"/>
  </w:num>
  <w:num w:numId="16">
    <w:abstractNumId w:val="21"/>
  </w:num>
  <w:num w:numId="17">
    <w:abstractNumId w:val="12"/>
  </w:num>
  <w:num w:numId="18">
    <w:abstractNumId w:val="10"/>
  </w:num>
  <w:num w:numId="19">
    <w:abstractNumId w:val="4"/>
  </w:num>
  <w:num w:numId="20">
    <w:abstractNumId w:val="2"/>
  </w:num>
  <w:num w:numId="21">
    <w:abstractNumId w:val="9"/>
  </w:num>
  <w:num w:numId="22">
    <w:abstractNumId w:val="6"/>
  </w:num>
  <w:num w:numId="23">
    <w:abstractNumId w:val="5"/>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36BE2"/>
    <w:rsid w:val="00050397"/>
    <w:rsid w:val="00052372"/>
    <w:rsid w:val="00053739"/>
    <w:rsid w:val="00053C64"/>
    <w:rsid w:val="000551CD"/>
    <w:rsid w:val="0006269F"/>
    <w:rsid w:val="00072A9A"/>
    <w:rsid w:val="0007464C"/>
    <w:rsid w:val="00085159"/>
    <w:rsid w:val="000856EB"/>
    <w:rsid w:val="00092DE2"/>
    <w:rsid w:val="000944AB"/>
    <w:rsid w:val="00094E16"/>
    <w:rsid w:val="00095334"/>
    <w:rsid w:val="000A773E"/>
    <w:rsid w:val="000B0D20"/>
    <w:rsid w:val="000B2945"/>
    <w:rsid w:val="000B2A08"/>
    <w:rsid w:val="000B460E"/>
    <w:rsid w:val="000C1882"/>
    <w:rsid w:val="000C5AFE"/>
    <w:rsid w:val="000C6D2E"/>
    <w:rsid w:val="000C6FB2"/>
    <w:rsid w:val="000D7802"/>
    <w:rsid w:val="000E3E65"/>
    <w:rsid w:val="000E5A60"/>
    <w:rsid w:val="000F6B06"/>
    <w:rsid w:val="00100229"/>
    <w:rsid w:val="00121D66"/>
    <w:rsid w:val="001259C1"/>
    <w:rsid w:val="00125DF8"/>
    <w:rsid w:val="00131332"/>
    <w:rsid w:val="0013184D"/>
    <w:rsid w:val="00134668"/>
    <w:rsid w:val="00145A7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824FA"/>
    <w:rsid w:val="002A2B42"/>
    <w:rsid w:val="002B0CC7"/>
    <w:rsid w:val="002B109A"/>
    <w:rsid w:val="002B19EE"/>
    <w:rsid w:val="002C1F0C"/>
    <w:rsid w:val="002C639E"/>
    <w:rsid w:val="002D4B58"/>
    <w:rsid w:val="002E6CB4"/>
    <w:rsid w:val="002F3482"/>
    <w:rsid w:val="002F3900"/>
    <w:rsid w:val="002F5F72"/>
    <w:rsid w:val="003040F9"/>
    <w:rsid w:val="00306AB7"/>
    <w:rsid w:val="0032406B"/>
    <w:rsid w:val="00335933"/>
    <w:rsid w:val="00354137"/>
    <w:rsid w:val="00355939"/>
    <w:rsid w:val="0036278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25216"/>
    <w:rsid w:val="00441ED7"/>
    <w:rsid w:val="004421E2"/>
    <w:rsid w:val="004529F4"/>
    <w:rsid w:val="00452FA3"/>
    <w:rsid w:val="00453596"/>
    <w:rsid w:val="00453D81"/>
    <w:rsid w:val="00490A04"/>
    <w:rsid w:val="00490B6E"/>
    <w:rsid w:val="00494A96"/>
    <w:rsid w:val="00496D4E"/>
    <w:rsid w:val="004A4AC2"/>
    <w:rsid w:val="004A5CEA"/>
    <w:rsid w:val="004A6A14"/>
    <w:rsid w:val="004C30C7"/>
    <w:rsid w:val="004C7D77"/>
    <w:rsid w:val="004D03AF"/>
    <w:rsid w:val="004D21C3"/>
    <w:rsid w:val="004D4882"/>
    <w:rsid w:val="004E2671"/>
    <w:rsid w:val="004E74B3"/>
    <w:rsid w:val="004F00CC"/>
    <w:rsid w:val="004F7535"/>
    <w:rsid w:val="005012A3"/>
    <w:rsid w:val="0050288B"/>
    <w:rsid w:val="005058F3"/>
    <w:rsid w:val="005218A8"/>
    <w:rsid w:val="005219FA"/>
    <w:rsid w:val="0052231B"/>
    <w:rsid w:val="00530F5C"/>
    <w:rsid w:val="00531E0D"/>
    <w:rsid w:val="00535A67"/>
    <w:rsid w:val="0053699B"/>
    <w:rsid w:val="00547E2F"/>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B5391"/>
    <w:rsid w:val="006C103F"/>
    <w:rsid w:val="006C631D"/>
    <w:rsid w:val="006D6001"/>
    <w:rsid w:val="006D7B5B"/>
    <w:rsid w:val="007018CA"/>
    <w:rsid w:val="00702AFC"/>
    <w:rsid w:val="00711C58"/>
    <w:rsid w:val="00716544"/>
    <w:rsid w:val="007244D3"/>
    <w:rsid w:val="00725A53"/>
    <w:rsid w:val="00726FBA"/>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3672D"/>
    <w:rsid w:val="00837A9B"/>
    <w:rsid w:val="00842A9C"/>
    <w:rsid w:val="00843294"/>
    <w:rsid w:val="00854D4D"/>
    <w:rsid w:val="0086081A"/>
    <w:rsid w:val="008677FA"/>
    <w:rsid w:val="00867853"/>
    <w:rsid w:val="008703CB"/>
    <w:rsid w:val="00882DA6"/>
    <w:rsid w:val="008A0797"/>
    <w:rsid w:val="008A5B5D"/>
    <w:rsid w:val="008A67C7"/>
    <w:rsid w:val="008B0B7A"/>
    <w:rsid w:val="008B1D8C"/>
    <w:rsid w:val="008D59FA"/>
    <w:rsid w:val="008D6F63"/>
    <w:rsid w:val="008D73A6"/>
    <w:rsid w:val="008F3F2D"/>
    <w:rsid w:val="00923BD4"/>
    <w:rsid w:val="009248E7"/>
    <w:rsid w:val="00925024"/>
    <w:rsid w:val="009323B9"/>
    <w:rsid w:val="0094212D"/>
    <w:rsid w:val="00947C5D"/>
    <w:rsid w:val="00952BFE"/>
    <w:rsid w:val="00957F0E"/>
    <w:rsid w:val="00972982"/>
    <w:rsid w:val="0097472C"/>
    <w:rsid w:val="00986B6A"/>
    <w:rsid w:val="009A6EA9"/>
    <w:rsid w:val="009C0256"/>
    <w:rsid w:val="009C6740"/>
    <w:rsid w:val="009C6FFC"/>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37AE"/>
    <w:rsid w:val="00B46642"/>
    <w:rsid w:val="00B526F8"/>
    <w:rsid w:val="00B54C5F"/>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7F1B"/>
    <w:rsid w:val="00BD0897"/>
    <w:rsid w:val="00C00105"/>
    <w:rsid w:val="00C00B1C"/>
    <w:rsid w:val="00C017C7"/>
    <w:rsid w:val="00C02FDD"/>
    <w:rsid w:val="00C0448F"/>
    <w:rsid w:val="00C1635D"/>
    <w:rsid w:val="00C230D4"/>
    <w:rsid w:val="00C34EA5"/>
    <w:rsid w:val="00C41295"/>
    <w:rsid w:val="00C44A28"/>
    <w:rsid w:val="00C47435"/>
    <w:rsid w:val="00C53388"/>
    <w:rsid w:val="00C57E3F"/>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CF78DF"/>
    <w:rsid w:val="00D00D80"/>
    <w:rsid w:val="00D07749"/>
    <w:rsid w:val="00D17590"/>
    <w:rsid w:val="00D20328"/>
    <w:rsid w:val="00D27C26"/>
    <w:rsid w:val="00D30997"/>
    <w:rsid w:val="00D42C4A"/>
    <w:rsid w:val="00D51714"/>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A8D"/>
    <w:rsid w:val="00E42FF8"/>
    <w:rsid w:val="00E432B9"/>
    <w:rsid w:val="00E43698"/>
    <w:rsid w:val="00E503AA"/>
    <w:rsid w:val="00E51A5B"/>
    <w:rsid w:val="00E53701"/>
    <w:rsid w:val="00E53FD9"/>
    <w:rsid w:val="00E55950"/>
    <w:rsid w:val="00E55970"/>
    <w:rsid w:val="00E60ADD"/>
    <w:rsid w:val="00E618F9"/>
    <w:rsid w:val="00E6501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5D55"/>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77356"/>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93213">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C32C-BB21-4F4B-9E78-137A19E6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1482</Words>
  <Characters>8153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2017-01-02T14:09:00Z</cp:lastPrinted>
  <dcterms:created xsi:type="dcterms:W3CDTF">2017-01-02T14:09:00Z</dcterms:created>
  <dcterms:modified xsi:type="dcterms:W3CDTF">2017-01-02T14:38:00Z</dcterms:modified>
</cp:coreProperties>
</file>