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40" w:rsidRPr="00EB6D40" w:rsidRDefault="007D1D49" w:rsidP="00EB6D40">
      <w:pPr>
        <w:spacing w:before="100" w:beforeAutospacing="1" w:after="0" w:line="240" w:lineRule="auto"/>
        <w:ind w:left="283"/>
        <w:jc w:val="both"/>
        <w:rPr>
          <w:rFonts w:ascii="Arial" w:hAnsi="Arial" w:cs="Arial"/>
          <w:b/>
          <w:bCs/>
          <w:sz w:val="24"/>
          <w:szCs w:val="24"/>
        </w:rPr>
      </w:pPr>
      <w:r w:rsidRPr="00EB6D40">
        <w:rPr>
          <w:rFonts w:ascii="Arial" w:hAnsi="Arial" w:cs="Arial"/>
          <w:b/>
          <w:bCs/>
          <w:sz w:val="24"/>
          <w:szCs w:val="24"/>
        </w:rPr>
        <w:t>Dé</w:t>
      </w:r>
      <w:r w:rsidR="000E026C" w:rsidRPr="00EB6D40">
        <w:rPr>
          <w:rFonts w:ascii="Arial" w:hAnsi="Arial" w:cs="Arial"/>
          <w:b/>
          <w:bCs/>
          <w:sz w:val="24"/>
          <w:szCs w:val="24"/>
        </w:rPr>
        <w:t>cret n°</w:t>
      </w:r>
      <w:r w:rsidR="00EB6D40" w:rsidRPr="00EB6D40">
        <w:rPr>
          <w:rFonts w:ascii="Arial" w:hAnsi="Arial" w:cs="Arial"/>
          <w:b/>
          <w:bCs/>
          <w:sz w:val="24"/>
          <w:szCs w:val="24"/>
        </w:rPr>
        <w:t xml:space="preserve"> </w:t>
      </w:r>
      <w:r w:rsidR="000E026C" w:rsidRPr="00EB6D40">
        <w:rPr>
          <w:rFonts w:ascii="Arial" w:hAnsi="Arial" w:cs="Arial"/>
          <w:b/>
          <w:bCs/>
          <w:sz w:val="24"/>
          <w:szCs w:val="24"/>
        </w:rPr>
        <w:t xml:space="preserve">2000-241 du </w:t>
      </w:r>
      <w:r w:rsidRPr="00EB6D40">
        <w:rPr>
          <w:rFonts w:ascii="Arial" w:hAnsi="Arial" w:cs="Arial"/>
          <w:b/>
          <w:bCs/>
          <w:sz w:val="24"/>
          <w:szCs w:val="24"/>
        </w:rPr>
        <w:t xml:space="preserve">31 janvier 2000, portant institution d'une indemnité spécifique au profit du corps des enseignants chercheurs des universités et des établissements d'enseignement supérieur </w:t>
      </w:r>
      <w:r w:rsidR="00EB6D40" w:rsidRPr="00EB6D40">
        <w:rPr>
          <w:rFonts w:ascii="Arial" w:hAnsi="Arial" w:cs="Arial"/>
          <w:b/>
          <w:bCs/>
          <w:sz w:val="24"/>
          <w:szCs w:val="24"/>
        </w:rPr>
        <w:t>et de recherche</w:t>
      </w:r>
    </w:p>
    <w:p w:rsidR="006D3425" w:rsidRPr="00EB6D40" w:rsidRDefault="007D1D49" w:rsidP="00EB6D40">
      <w:pPr>
        <w:spacing w:before="100" w:beforeAutospacing="1" w:after="0" w:line="240" w:lineRule="auto"/>
        <w:ind w:left="283"/>
        <w:jc w:val="both"/>
        <w:rPr>
          <w:rFonts w:ascii="Arial" w:hAnsi="Arial" w:cs="Arial"/>
          <w:sz w:val="24"/>
          <w:szCs w:val="24"/>
        </w:rPr>
      </w:pPr>
      <w:r w:rsidRPr="00EB6D40">
        <w:rPr>
          <w:rFonts w:asciiTheme="minorBidi" w:hAnsiTheme="minorBidi"/>
          <w:sz w:val="20"/>
          <w:szCs w:val="20"/>
        </w:rPr>
        <w:t>Le Président de la République,</w:t>
      </w:r>
    </w:p>
    <w:p w:rsidR="006D3425" w:rsidRPr="00EB6D40" w:rsidRDefault="007D1D49" w:rsidP="00EB6D40">
      <w:pPr>
        <w:spacing w:before="100" w:beforeAutospacing="1" w:after="0" w:line="216" w:lineRule="auto"/>
        <w:ind w:left="283"/>
        <w:rPr>
          <w:rFonts w:asciiTheme="minorBidi" w:hAnsiTheme="minorBidi"/>
          <w:sz w:val="20"/>
          <w:szCs w:val="20"/>
        </w:rPr>
      </w:pPr>
      <w:r w:rsidRPr="00EB6D40">
        <w:rPr>
          <w:rFonts w:asciiTheme="minorBidi" w:hAnsiTheme="minorBidi"/>
          <w:sz w:val="20"/>
          <w:szCs w:val="20"/>
        </w:rPr>
        <w:t>Sur proposition du ministre de l'enseignement supérieur,</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 xml:space="preserve">Vu la loi n°83-112 du 12 décembre 1983, fixant le statut général des personnels de l'Etat, des collectivités publiques locales et des établissements publics </w:t>
      </w:r>
      <w:proofErr w:type="spellStart"/>
      <w:r w:rsidRPr="00EB6D40">
        <w:rPr>
          <w:rFonts w:asciiTheme="minorBidi" w:hAnsiTheme="minorBidi"/>
          <w:sz w:val="20"/>
          <w:szCs w:val="20"/>
        </w:rPr>
        <w:t>a</w:t>
      </w:r>
      <w:proofErr w:type="spellEnd"/>
      <w:r w:rsidRPr="00EB6D40">
        <w:rPr>
          <w:rFonts w:asciiTheme="minorBidi" w:hAnsiTheme="minorBidi"/>
          <w:sz w:val="20"/>
          <w:szCs w:val="20"/>
        </w:rPr>
        <w:t xml:space="preserve"> caractère administratif, ensemble les textes qui l'ont modifiée ou complétée et notamment la loi n° 97-83 du 20 d6cembre 1997,</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 xml:space="preserve">Vu la loi n° 89-70 du 28 juillet 1989, relative </w:t>
      </w:r>
      <w:proofErr w:type="spellStart"/>
      <w:r w:rsidRPr="00EB6D40">
        <w:rPr>
          <w:rFonts w:asciiTheme="minorBidi" w:hAnsiTheme="minorBidi"/>
          <w:sz w:val="20"/>
          <w:szCs w:val="20"/>
        </w:rPr>
        <w:t>a</w:t>
      </w:r>
      <w:proofErr w:type="spellEnd"/>
      <w:r w:rsidRPr="00EB6D40">
        <w:rPr>
          <w:rFonts w:asciiTheme="minorBidi" w:hAnsiTheme="minorBidi"/>
          <w:sz w:val="20"/>
          <w:szCs w:val="20"/>
        </w:rPr>
        <w:t xml:space="preserve"> l'enseignement supérieur et à la recherche scientifique, ensemble les textes qui l'ont modifiée et notamment la loi n° 97-21 du 22 mars 1997,</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la loi n° 89-114 du 30 décembre 1989, portant promulgation du code de l'impôt sur le revenu des personnes physiques et de l'impôt sur les sociétés,</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80-9 du 2 janvier 1980, portant statut particulier des personnels de l'enseignement supérieur relevant du ministère de la jeunesse et des sports,</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85-980 du 11 aout 1985, fixant la liste des éléments permanents de la rémunération des agents de l'Etat, des collectivités publiques locales et des établissements publics à caractère administratif, soumis à retenue pour la retraite, ensemble les textes qui l'ont modifié ou complété et notamment le décret n° 98-1301 du 15 juin 1998,</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87-1113 du 22 aout 1987, fixant le statut particulier au corps des chercheurs agricoles et de pêche, ensemble les textes qui l'ont modifié ou complété et notamment le décret n° 99-2176 du 27 septembre 1999,</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89-1939 du 14 décembre 1989, portant organisation des universités et des établissements de l'enseignement supérieur et de recherche scientifique, ensemble les textes qui l'ont modifié ou complété et notamment le décret n° 93-423 du 17 février 1993,</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93-1825 du 6 septembre 1993, fixant le statut particulier au corps des enseignants chercheurs des universités, ensemble les textes qui l'ont modifié ou complété et notamment le décret n° 99-1803 du 23 aout 1999,</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98-794 du 6 avril 1998, fixant le statut particulier du personnel scientifique de l'institut Pasteur de Tunis,</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98-1334 du 22 juin 1998, fixant le statut particulier au corps enseignants chercheurs des établissements d'enseignement supérieur agricole,</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sz w:val="20"/>
          <w:szCs w:val="20"/>
        </w:rPr>
        <w:t>Vu le décret n° 99-2760 du 6 décembre 1999, fixant le statut particulier du corps des personnels scientifiques de l'institut national du patrimoine au ministère de la culture,</w:t>
      </w:r>
    </w:p>
    <w:p w:rsidR="00EB6D40" w:rsidRDefault="007D1D49" w:rsidP="00EB6D40">
      <w:pPr>
        <w:spacing w:before="100" w:beforeAutospacing="1" w:after="0" w:line="324" w:lineRule="auto"/>
        <w:ind w:left="283"/>
        <w:jc w:val="both"/>
        <w:rPr>
          <w:rFonts w:asciiTheme="minorBidi" w:hAnsiTheme="minorBidi"/>
          <w:sz w:val="20"/>
          <w:szCs w:val="20"/>
        </w:rPr>
      </w:pPr>
      <w:r w:rsidRPr="00EB6D40">
        <w:rPr>
          <w:rFonts w:asciiTheme="minorBidi" w:hAnsiTheme="minorBidi"/>
          <w:sz w:val="20"/>
          <w:szCs w:val="20"/>
        </w:rPr>
        <w:t>Vu l'avis du ministre des finances, Vu l'avis du tribunal administratif.</w:t>
      </w:r>
    </w:p>
    <w:p w:rsidR="00EB6D40" w:rsidRDefault="00EB6D40" w:rsidP="00EB6D40">
      <w:pPr>
        <w:spacing w:before="100" w:beforeAutospacing="1" w:after="0" w:line="324" w:lineRule="auto"/>
        <w:ind w:left="283"/>
        <w:jc w:val="both"/>
        <w:rPr>
          <w:rFonts w:asciiTheme="minorBidi" w:hAnsiTheme="minorBidi"/>
          <w:color w:val="000000"/>
          <w:sz w:val="20"/>
          <w:szCs w:val="20"/>
        </w:rPr>
      </w:pPr>
      <w:r>
        <w:rPr>
          <w:rFonts w:asciiTheme="minorBidi" w:hAnsiTheme="minorBidi"/>
          <w:color w:val="000000"/>
          <w:sz w:val="20"/>
          <w:szCs w:val="20"/>
        </w:rPr>
        <w:t>Décrète :</w:t>
      </w:r>
    </w:p>
    <w:p w:rsidR="00EB6D40" w:rsidRDefault="007D1D49" w:rsidP="00EB6D40">
      <w:pPr>
        <w:spacing w:before="100" w:beforeAutospacing="1" w:after="0" w:line="324" w:lineRule="auto"/>
        <w:ind w:left="283"/>
        <w:jc w:val="both"/>
        <w:rPr>
          <w:rFonts w:asciiTheme="minorBidi" w:hAnsiTheme="minorBidi"/>
          <w:color w:val="000000"/>
          <w:sz w:val="20"/>
          <w:szCs w:val="20"/>
        </w:rPr>
      </w:pPr>
      <w:r w:rsidRPr="00EB6D40">
        <w:rPr>
          <w:rFonts w:asciiTheme="minorBidi" w:hAnsiTheme="minorBidi"/>
          <w:b/>
          <w:bCs/>
          <w:i/>
          <w:iCs/>
          <w:color w:val="000000"/>
          <w:spacing w:val="4"/>
          <w:sz w:val="20"/>
          <w:szCs w:val="20"/>
        </w:rPr>
        <w:t>Ar</w:t>
      </w:r>
      <w:r w:rsidR="004E7D08" w:rsidRPr="00EB6D40">
        <w:rPr>
          <w:rFonts w:asciiTheme="minorBidi" w:hAnsiTheme="minorBidi"/>
          <w:b/>
          <w:bCs/>
          <w:i/>
          <w:iCs/>
          <w:color w:val="000000"/>
          <w:spacing w:val="4"/>
          <w:sz w:val="20"/>
          <w:szCs w:val="20"/>
        </w:rPr>
        <w:t>t</w:t>
      </w:r>
      <w:r w:rsidR="00EB6D40" w:rsidRPr="00EB6D40">
        <w:rPr>
          <w:rFonts w:asciiTheme="minorBidi" w:hAnsiTheme="minorBidi"/>
          <w:b/>
          <w:bCs/>
          <w:i/>
          <w:iCs/>
          <w:color w:val="000000"/>
          <w:spacing w:val="4"/>
          <w:sz w:val="20"/>
          <w:szCs w:val="20"/>
        </w:rPr>
        <w:t xml:space="preserve">icle Premier – </w:t>
      </w:r>
      <w:r w:rsidRPr="00EB6D40">
        <w:rPr>
          <w:rFonts w:asciiTheme="minorBidi" w:hAnsiTheme="minorBidi"/>
          <w:color w:val="000000"/>
          <w:spacing w:val="4"/>
          <w:sz w:val="20"/>
          <w:szCs w:val="20"/>
        </w:rPr>
        <w:t>Il est institué une indemnité spécifique</w:t>
      </w:r>
      <w:r w:rsidRPr="00EB6D40">
        <w:rPr>
          <w:rFonts w:asciiTheme="minorBidi" w:hAnsiTheme="minorBidi"/>
          <w:color w:val="000000"/>
          <w:spacing w:val="14"/>
          <w:sz w:val="20"/>
          <w:szCs w:val="20"/>
        </w:rPr>
        <w:t xml:space="preserve"> </w:t>
      </w:r>
      <w:r w:rsidRPr="00EB6D40">
        <w:rPr>
          <w:rFonts w:asciiTheme="minorBidi" w:hAnsiTheme="minorBidi"/>
          <w:color w:val="000000"/>
          <w:spacing w:val="17"/>
          <w:sz w:val="20"/>
          <w:szCs w:val="20"/>
        </w:rPr>
        <w:t>au profit du corps des enseignants chercheurs des</w:t>
      </w:r>
      <w:r w:rsidRPr="00EB6D40">
        <w:rPr>
          <w:rFonts w:asciiTheme="minorBidi" w:hAnsiTheme="minorBidi"/>
          <w:color w:val="000000"/>
          <w:spacing w:val="27"/>
          <w:sz w:val="20"/>
          <w:szCs w:val="20"/>
        </w:rPr>
        <w:t xml:space="preserve"> </w:t>
      </w:r>
      <w:r w:rsidRPr="00EB6D40">
        <w:rPr>
          <w:rFonts w:asciiTheme="minorBidi" w:hAnsiTheme="minorBidi"/>
          <w:color w:val="000000"/>
          <w:spacing w:val="5"/>
          <w:sz w:val="20"/>
          <w:szCs w:val="20"/>
        </w:rPr>
        <w:t>universités et des établissements d'enseignement supérieur</w:t>
      </w:r>
      <w:r w:rsidRPr="00EB6D40">
        <w:rPr>
          <w:rFonts w:asciiTheme="minorBidi" w:hAnsiTheme="minorBidi"/>
          <w:color w:val="000000"/>
          <w:spacing w:val="15"/>
          <w:sz w:val="20"/>
          <w:szCs w:val="20"/>
        </w:rPr>
        <w:t xml:space="preserve"> </w:t>
      </w:r>
      <w:r w:rsidRPr="00EB6D40">
        <w:rPr>
          <w:rFonts w:asciiTheme="minorBidi" w:hAnsiTheme="minorBidi"/>
          <w:color w:val="000000"/>
          <w:sz w:val="20"/>
          <w:szCs w:val="20"/>
        </w:rPr>
        <w:t>et de recherche.</w:t>
      </w:r>
    </w:p>
    <w:p w:rsidR="00EB6D40" w:rsidRPr="00EB6D40" w:rsidRDefault="007D1D49" w:rsidP="00EB6D40">
      <w:pPr>
        <w:spacing w:before="100" w:beforeAutospacing="1" w:after="0" w:line="324" w:lineRule="auto"/>
        <w:ind w:left="283"/>
        <w:jc w:val="both"/>
        <w:rPr>
          <w:rFonts w:asciiTheme="minorBidi" w:hAnsiTheme="minorBidi"/>
          <w:color w:val="000000"/>
          <w:spacing w:val="6"/>
          <w:sz w:val="20"/>
          <w:szCs w:val="20"/>
        </w:rPr>
      </w:pPr>
      <w:r w:rsidRPr="00EB6D40">
        <w:rPr>
          <w:rFonts w:asciiTheme="minorBidi" w:hAnsiTheme="minorBidi"/>
          <w:b/>
          <w:bCs/>
          <w:i/>
          <w:iCs/>
          <w:color w:val="000000"/>
          <w:spacing w:val="6"/>
          <w:sz w:val="20"/>
          <w:szCs w:val="20"/>
        </w:rPr>
        <w:lastRenderedPageBreak/>
        <w:t xml:space="preserve">Art. 2. </w:t>
      </w:r>
      <w:r w:rsidR="00EB6D40">
        <w:rPr>
          <w:rFonts w:asciiTheme="minorBidi" w:hAnsiTheme="minorBidi"/>
          <w:b/>
          <w:bCs/>
          <w:i/>
          <w:iCs/>
          <w:color w:val="000000"/>
          <w:spacing w:val="6"/>
          <w:sz w:val="20"/>
          <w:szCs w:val="20"/>
        </w:rPr>
        <w:t>–</w:t>
      </w:r>
      <w:r w:rsidRPr="00EB6D40">
        <w:rPr>
          <w:rFonts w:asciiTheme="minorBidi" w:hAnsiTheme="minorBidi"/>
          <w:color w:val="000000"/>
          <w:spacing w:val="6"/>
          <w:sz w:val="20"/>
          <w:szCs w:val="20"/>
        </w:rPr>
        <w:t xml:space="preserve"> L'indemnité spécifique visée à l'article premier</w:t>
      </w:r>
      <w:r w:rsidRPr="00EB6D40">
        <w:rPr>
          <w:rFonts w:asciiTheme="minorBidi" w:hAnsiTheme="minorBidi"/>
          <w:color w:val="000000"/>
          <w:spacing w:val="16"/>
          <w:sz w:val="20"/>
          <w:szCs w:val="20"/>
        </w:rPr>
        <w:t xml:space="preserve"> </w:t>
      </w:r>
      <w:r w:rsidRPr="00EB6D40">
        <w:rPr>
          <w:rFonts w:asciiTheme="minorBidi" w:hAnsiTheme="minorBidi"/>
          <w:color w:val="000000"/>
          <w:spacing w:val="2"/>
          <w:sz w:val="20"/>
          <w:szCs w:val="20"/>
        </w:rPr>
        <w:t>du présent décret est servie mensuellement et à terme échu.</w:t>
      </w:r>
      <w:r w:rsidRPr="00EB6D40">
        <w:rPr>
          <w:rFonts w:asciiTheme="minorBidi" w:hAnsiTheme="minorBidi"/>
          <w:color w:val="000000"/>
          <w:spacing w:val="12"/>
          <w:sz w:val="20"/>
          <w:szCs w:val="20"/>
        </w:rPr>
        <w:t xml:space="preserve"> </w:t>
      </w:r>
      <w:r w:rsidRPr="00EB6D40">
        <w:rPr>
          <w:rFonts w:asciiTheme="minorBidi" w:hAnsiTheme="minorBidi"/>
          <w:color w:val="000000"/>
          <w:spacing w:val="8"/>
          <w:sz w:val="20"/>
          <w:szCs w:val="20"/>
        </w:rPr>
        <w:t xml:space="preserve">Elle est soumise </w:t>
      </w:r>
      <w:r w:rsidR="00EB6D40" w:rsidRPr="00EB6D40">
        <w:rPr>
          <w:rFonts w:asciiTheme="minorBidi" w:hAnsiTheme="minorBidi"/>
          <w:color w:val="000000"/>
          <w:spacing w:val="8"/>
          <w:sz w:val="20"/>
          <w:szCs w:val="20"/>
        </w:rPr>
        <w:t>à</w:t>
      </w:r>
      <w:r w:rsidRPr="00EB6D40">
        <w:rPr>
          <w:rFonts w:asciiTheme="minorBidi" w:hAnsiTheme="minorBidi"/>
          <w:color w:val="000000"/>
          <w:spacing w:val="8"/>
          <w:sz w:val="20"/>
          <w:szCs w:val="20"/>
        </w:rPr>
        <w:t xml:space="preserve"> l'impôt sur le revenu, aux retenues au</w:t>
      </w:r>
      <w:r w:rsidRPr="00EB6D40">
        <w:rPr>
          <w:rFonts w:asciiTheme="minorBidi" w:hAnsiTheme="minorBidi"/>
          <w:color w:val="000000"/>
          <w:spacing w:val="18"/>
          <w:sz w:val="20"/>
          <w:szCs w:val="20"/>
        </w:rPr>
        <w:t xml:space="preserve"> </w:t>
      </w:r>
      <w:r w:rsidRPr="00EB6D40">
        <w:rPr>
          <w:rFonts w:asciiTheme="minorBidi" w:hAnsiTheme="minorBidi"/>
          <w:color w:val="000000"/>
          <w:spacing w:val="2"/>
          <w:sz w:val="20"/>
          <w:szCs w:val="20"/>
        </w:rPr>
        <w:t>titre des cotisations aux régimes de retraite, de prévoyance</w:t>
      </w:r>
      <w:r w:rsidRPr="00EB6D40">
        <w:rPr>
          <w:rFonts w:asciiTheme="minorBidi" w:hAnsiTheme="minorBidi"/>
          <w:color w:val="000000"/>
          <w:spacing w:val="12"/>
          <w:sz w:val="20"/>
          <w:szCs w:val="20"/>
        </w:rPr>
        <w:t xml:space="preserve"> </w:t>
      </w:r>
      <w:r w:rsidR="00055D5A" w:rsidRPr="00EB6D40">
        <w:rPr>
          <w:rFonts w:asciiTheme="minorBidi" w:hAnsiTheme="minorBidi"/>
          <w:color w:val="000000"/>
          <w:spacing w:val="12"/>
          <w:sz w:val="20"/>
          <w:szCs w:val="20"/>
        </w:rPr>
        <w:t xml:space="preserve"> </w:t>
      </w:r>
      <w:r w:rsidR="00055D5A" w:rsidRPr="00EB6D40">
        <w:rPr>
          <w:rFonts w:asciiTheme="minorBidi" w:hAnsiTheme="minorBidi"/>
          <w:color w:val="000000"/>
          <w:spacing w:val="10"/>
          <w:sz w:val="20"/>
          <w:szCs w:val="20"/>
        </w:rPr>
        <w:t>sociale et du capital dé</w:t>
      </w:r>
      <w:r w:rsidRPr="00EB6D40">
        <w:rPr>
          <w:rFonts w:asciiTheme="minorBidi" w:hAnsiTheme="minorBidi"/>
          <w:color w:val="000000"/>
          <w:spacing w:val="10"/>
          <w:sz w:val="20"/>
          <w:szCs w:val="20"/>
        </w:rPr>
        <w:t>c</w:t>
      </w:r>
      <w:r w:rsidR="00055D5A" w:rsidRPr="00EB6D40">
        <w:rPr>
          <w:rFonts w:asciiTheme="minorBidi" w:hAnsiTheme="minorBidi"/>
          <w:color w:val="000000"/>
          <w:spacing w:val="10"/>
          <w:sz w:val="20"/>
          <w:szCs w:val="20"/>
        </w:rPr>
        <w:t>ès selon la ré</w:t>
      </w:r>
      <w:r w:rsidRPr="00EB6D40">
        <w:rPr>
          <w:rFonts w:asciiTheme="minorBidi" w:hAnsiTheme="minorBidi"/>
          <w:color w:val="000000"/>
          <w:spacing w:val="10"/>
          <w:sz w:val="20"/>
          <w:szCs w:val="20"/>
        </w:rPr>
        <w:t>glementation en</w:t>
      </w:r>
      <w:r w:rsidRPr="00EB6D40">
        <w:rPr>
          <w:rFonts w:asciiTheme="minorBidi" w:hAnsiTheme="minorBidi"/>
          <w:color w:val="000000"/>
          <w:spacing w:val="20"/>
          <w:sz w:val="20"/>
          <w:szCs w:val="20"/>
        </w:rPr>
        <w:t xml:space="preserve"> </w:t>
      </w:r>
      <w:r w:rsidRPr="00EB6D40">
        <w:rPr>
          <w:rFonts w:asciiTheme="minorBidi" w:hAnsiTheme="minorBidi"/>
          <w:color w:val="000000"/>
          <w:spacing w:val="4"/>
          <w:sz w:val="20"/>
          <w:szCs w:val="20"/>
        </w:rPr>
        <w:t>vigueur.</w:t>
      </w:r>
    </w:p>
    <w:p w:rsidR="00D052E3" w:rsidRDefault="00D052E3" w:rsidP="00D052E3">
      <w:pPr>
        <w:spacing w:before="100" w:beforeAutospacing="1" w:after="0" w:line="240" w:lineRule="auto"/>
        <w:ind w:left="283"/>
        <w:jc w:val="both"/>
        <w:rPr>
          <w:rFonts w:ascii="Arial" w:hAnsi="Arial" w:cs="Arial"/>
          <w:sz w:val="20"/>
          <w:szCs w:val="20"/>
        </w:rPr>
      </w:pPr>
      <w:r w:rsidRPr="00BA1FF9">
        <w:rPr>
          <w:rFonts w:ascii="Arial" w:hAnsi="Arial" w:cs="Arial"/>
          <w:b/>
          <w:bCs/>
          <w:i/>
          <w:iCs/>
          <w:sz w:val="20"/>
          <w:szCs w:val="20"/>
        </w:rPr>
        <w:t>Art. 3 (nouveau) –</w:t>
      </w:r>
      <w:r w:rsidRPr="00464D46">
        <w:rPr>
          <w:rFonts w:ascii="Arial" w:hAnsi="Arial" w:cs="Arial"/>
          <w:sz w:val="20"/>
          <w:szCs w:val="20"/>
        </w:rPr>
        <w:t xml:space="preserve"> </w:t>
      </w:r>
      <w:r w:rsidRPr="00D052E3">
        <w:rPr>
          <w:rFonts w:ascii="Arial" w:hAnsi="Arial" w:cs="Arial"/>
          <w:b/>
          <w:bCs/>
          <w:sz w:val="20"/>
          <w:szCs w:val="20"/>
        </w:rPr>
        <w:t>Modifié par le décret n° 2009-910 du 4 Avril 2009 –</w:t>
      </w:r>
      <w:r>
        <w:rPr>
          <w:rFonts w:ascii="Arial" w:hAnsi="Arial" w:cs="Arial"/>
          <w:sz w:val="20"/>
          <w:szCs w:val="20"/>
        </w:rPr>
        <w:t xml:space="preserve"> </w:t>
      </w:r>
      <w:r w:rsidRPr="00464D46">
        <w:rPr>
          <w:rFonts w:ascii="Arial" w:hAnsi="Arial" w:cs="Arial"/>
          <w:sz w:val="20"/>
          <w:szCs w:val="20"/>
        </w:rPr>
        <w:t>Le taux mensuel de l’indemnité spécifique visée à l’article premier ci-dessus est fixé, selon les grades, conformément aux i</w:t>
      </w:r>
      <w:r>
        <w:rPr>
          <w:rFonts w:ascii="Arial" w:hAnsi="Arial" w:cs="Arial"/>
          <w:sz w:val="20"/>
          <w:szCs w:val="20"/>
        </w:rPr>
        <w:t>ndications du tableau suivant :</w:t>
      </w:r>
    </w:p>
    <w:p w:rsidR="00D052E3" w:rsidRPr="00D052E3" w:rsidRDefault="00D052E3" w:rsidP="00D052E3">
      <w:pPr>
        <w:spacing w:before="100" w:beforeAutospacing="1" w:after="0" w:line="240" w:lineRule="auto"/>
        <w:ind w:left="283"/>
        <w:jc w:val="both"/>
        <w:rPr>
          <w:rFonts w:ascii="Arial" w:hAnsi="Arial" w:cs="Arial"/>
          <w:sz w:val="20"/>
          <w:szCs w:val="20"/>
        </w:rPr>
      </w:pPr>
      <w:bookmarkStart w:id="0" w:name="_GoBack"/>
      <w:bookmarkEnd w:id="0"/>
    </w:p>
    <w:tbl>
      <w:tblPr>
        <w:tblStyle w:val="Grilledutableau"/>
        <w:tblW w:w="0" w:type="auto"/>
        <w:tblInd w:w="392" w:type="dxa"/>
        <w:tblLook w:val="04A0" w:firstRow="1" w:lastRow="0" w:firstColumn="1" w:lastColumn="0" w:noHBand="0" w:noVBand="1"/>
      </w:tblPr>
      <w:tblGrid>
        <w:gridCol w:w="2607"/>
        <w:gridCol w:w="2635"/>
        <w:gridCol w:w="2635"/>
        <w:gridCol w:w="2226"/>
      </w:tblGrid>
      <w:tr w:rsidR="00D052E3" w:rsidTr="000C25CC">
        <w:tc>
          <w:tcPr>
            <w:tcW w:w="2607" w:type="dxa"/>
            <w:vMerge w:val="restart"/>
            <w:vAlign w:val="center"/>
          </w:tcPr>
          <w:p w:rsidR="00D052E3" w:rsidRPr="00EB6D40" w:rsidRDefault="00D052E3" w:rsidP="000C25CC">
            <w:pPr>
              <w:spacing w:before="100" w:beforeAutospacing="1" w:after="120"/>
              <w:ind w:left="283"/>
              <w:jc w:val="center"/>
              <w:rPr>
                <w:rFonts w:ascii="Arial" w:hAnsi="Arial" w:cs="Arial"/>
                <w:b/>
                <w:bCs/>
                <w:sz w:val="20"/>
                <w:szCs w:val="20"/>
              </w:rPr>
            </w:pPr>
            <w:r w:rsidRPr="00EB6D40">
              <w:rPr>
                <w:rFonts w:ascii="Arial" w:hAnsi="Arial" w:cs="Arial"/>
                <w:b/>
                <w:bCs/>
                <w:sz w:val="20"/>
                <w:szCs w:val="20"/>
              </w:rPr>
              <w:t>Grades</w:t>
            </w:r>
          </w:p>
        </w:tc>
        <w:tc>
          <w:tcPr>
            <w:tcW w:w="7496" w:type="dxa"/>
            <w:gridSpan w:val="3"/>
            <w:vAlign w:val="center"/>
          </w:tcPr>
          <w:p w:rsidR="00D052E3" w:rsidRPr="00EB6D40" w:rsidRDefault="00D052E3" w:rsidP="000C25CC">
            <w:pPr>
              <w:spacing w:before="100" w:beforeAutospacing="1" w:after="120"/>
              <w:ind w:left="283"/>
              <w:jc w:val="center"/>
              <w:rPr>
                <w:rFonts w:ascii="Arial" w:hAnsi="Arial" w:cs="Arial"/>
                <w:b/>
                <w:bCs/>
                <w:sz w:val="20"/>
                <w:szCs w:val="20"/>
              </w:rPr>
            </w:pPr>
            <w:r w:rsidRPr="00EB6D40">
              <w:rPr>
                <w:rFonts w:ascii="Arial" w:hAnsi="Arial" w:cs="Arial"/>
                <w:b/>
                <w:bCs/>
                <w:sz w:val="20"/>
                <w:szCs w:val="20"/>
              </w:rPr>
              <w:t>Taux mensuel de l’indemnité spécifique</w:t>
            </w:r>
          </w:p>
        </w:tc>
      </w:tr>
      <w:tr w:rsidR="00D052E3" w:rsidTr="000C25CC">
        <w:tc>
          <w:tcPr>
            <w:tcW w:w="2607" w:type="dxa"/>
            <w:vMerge/>
            <w:vAlign w:val="center"/>
          </w:tcPr>
          <w:p w:rsidR="00D052E3" w:rsidRPr="00EB6D40" w:rsidRDefault="00D052E3" w:rsidP="000C25CC">
            <w:pPr>
              <w:spacing w:before="100" w:beforeAutospacing="1" w:after="120"/>
              <w:ind w:left="283"/>
              <w:jc w:val="center"/>
              <w:rPr>
                <w:rFonts w:ascii="Arial" w:hAnsi="Arial" w:cs="Arial"/>
                <w:b/>
                <w:bCs/>
                <w:sz w:val="20"/>
                <w:szCs w:val="20"/>
              </w:rPr>
            </w:pPr>
          </w:p>
        </w:tc>
        <w:tc>
          <w:tcPr>
            <w:tcW w:w="2635" w:type="dxa"/>
            <w:vAlign w:val="center"/>
          </w:tcPr>
          <w:p w:rsidR="00D052E3" w:rsidRPr="00EB6D40" w:rsidRDefault="00D052E3" w:rsidP="000C25CC">
            <w:pPr>
              <w:spacing w:before="100" w:beforeAutospacing="1" w:after="120"/>
              <w:ind w:left="283"/>
              <w:jc w:val="center"/>
              <w:rPr>
                <w:rFonts w:ascii="Arial" w:hAnsi="Arial" w:cs="Arial"/>
                <w:b/>
                <w:bCs/>
                <w:sz w:val="20"/>
                <w:szCs w:val="20"/>
              </w:rPr>
            </w:pPr>
            <w:r w:rsidRPr="00EB6D40">
              <w:rPr>
                <w:rFonts w:ascii="Arial" w:hAnsi="Arial" w:cs="Arial"/>
                <w:b/>
                <w:bCs/>
                <w:sz w:val="20"/>
                <w:szCs w:val="20"/>
              </w:rPr>
              <w:t>A comp</w:t>
            </w:r>
            <w:r>
              <w:rPr>
                <w:rFonts w:ascii="Arial" w:hAnsi="Arial" w:cs="Arial"/>
                <w:b/>
                <w:bCs/>
                <w:sz w:val="20"/>
                <w:szCs w:val="20"/>
              </w:rPr>
              <w:t>ter du 1</w:t>
            </w:r>
            <w:r w:rsidRPr="00464D46">
              <w:rPr>
                <w:rFonts w:ascii="Arial" w:hAnsi="Arial" w:cs="Arial"/>
                <w:b/>
                <w:bCs/>
                <w:sz w:val="20"/>
                <w:szCs w:val="20"/>
                <w:vertAlign w:val="superscript"/>
              </w:rPr>
              <w:t>er</w:t>
            </w:r>
            <w:r>
              <w:rPr>
                <w:rFonts w:ascii="Arial" w:hAnsi="Arial" w:cs="Arial"/>
                <w:b/>
                <w:bCs/>
                <w:sz w:val="20"/>
                <w:szCs w:val="20"/>
              </w:rPr>
              <w:t xml:space="preserve"> Janvier 2009</w:t>
            </w:r>
          </w:p>
        </w:tc>
        <w:tc>
          <w:tcPr>
            <w:tcW w:w="2635" w:type="dxa"/>
            <w:vAlign w:val="center"/>
          </w:tcPr>
          <w:p w:rsidR="00D052E3" w:rsidRPr="00EB6D40" w:rsidRDefault="00D052E3" w:rsidP="000C25CC">
            <w:pPr>
              <w:spacing w:before="100" w:beforeAutospacing="1" w:after="120"/>
              <w:ind w:left="283"/>
              <w:jc w:val="center"/>
              <w:rPr>
                <w:rFonts w:ascii="Arial" w:hAnsi="Arial" w:cs="Arial"/>
                <w:b/>
                <w:bCs/>
                <w:sz w:val="20"/>
                <w:szCs w:val="20"/>
              </w:rPr>
            </w:pPr>
            <w:r w:rsidRPr="00EB6D40">
              <w:rPr>
                <w:rFonts w:ascii="Arial" w:hAnsi="Arial" w:cs="Arial"/>
                <w:b/>
                <w:bCs/>
                <w:sz w:val="20"/>
                <w:szCs w:val="20"/>
              </w:rPr>
              <w:t xml:space="preserve">A </w:t>
            </w:r>
            <w:r>
              <w:rPr>
                <w:rFonts w:ascii="Arial" w:hAnsi="Arial" w:cs="Arial"/>
                <w:b/>
                <w:bCs/>
                <w:sz w:val="20"/>
                <w:szCs w:val="20"/>
              </w:rPr>
              <w:t>compter du 1</w:t>
            </w:r>
            <w:r w:rsidRPr="00464D46">
              <w:rPr>
                <w:rFonts w:ascii="Arial" w:hAnsi="Arial" w:cs="Arial"/>
                <w:b/>
                <w:bCs/>
                <w:sz w:val="20"/>
                <w:szCs w:val="20"/>
                <w:vertAlign w:val="superscript"/>
              </w:rPr>
              <w:t>er</w:t>
            </w:r>
            <w:r>
              <w:rPr>
                <w:rFonts w:ascii="Arial" w:hAnsi="Arial" w:cs="Arial"/>
                <w:b/>
                <w:bCs/>
                <w:sz w:val="20"/>
                <w:szCs w:val="20"/>
              </w:rPr>
              <w:t xml:space="preserve"> Janvier 2010</w:t>
            </w:r>
          </w:p>
        </w:tc>
        <w:tc>
          <w:tcPr>
            <w:tcW w:w="2226" w:type="dxa"/>
          </w:tcPr>
          <w:p w:rsidR="00D052E3" w:rsidRPr="00EB6D40" w:rsidRDefault="00D052E3" w:rsidP="000C25CC">
            <w:pPr>
              <w:spacing w:before="100" w:beforeAutospacing="1" w:after="120"/>
              <w:ind w:left="283"/>
              <w:jc w:val="center"/>
              <w:rPr>
                <w:rFonts w:ascii="Arial" w:hAnsi="Arial" w:cs="Arial"/>
                <w:b/>
                <w:bCs/>
                <w:sz w:val="20"/>
                <w:szCs w:val="20"/>
              </w:rPr>
            </w:pPr>
            <w:r>
              <w:rPr>
                <w:rFonts w:ascii="Arial" w:hAnsi="Arial" w:cs="Arial"/>
                <w:b/>
                <w:bCs/>
                <w:sz w:val="20"/>
                <w:szCs w:val="20"/>
              </w:rPr>
              <w:t>A compter du 1</w:t>
            </w:r>
            <w:r w:rsidRPr="00464D46">
              <w:rPr>
                <w:rFonts w:ascii="Arial" w:hAnsi="Arial" w:cs="Arial"/>
                <w:b/>
                <w:bCs/>
                <w:sz w:val="20"/>
                <w:szCs w:val="20"/>
                <w:vertAlign w:val="superscript"/>
              </w:rPr>
              <w:t>er</w:t>
            </w:r>
            <w:r>
              <w:rPr>
                <w:rFonts w:ascii="Arial" w:hAnsi="Arial" w:cs="Arial"/>
                <w:b/>
                <w:bCs/>
                <w:sz w:val="20"/>
                <w:szCs w:val="20"/>
              </w:rPr>
              <w:t xml:space="preserve"> Janvier 2011</w:t>
            </w:r>
          </w:p>
        </w:tc>
      </w:tr>
      <w:tr w:rsidR="00D052E3" w:rsidTr="000C25CC">
        <w:tc>
          <w:tcPr>
            <w:tcW w:w="2607" w:type="dxa"/>
          </w:tcPr>
          <w:p w:rsidR="00D052E3" w:rsidRDefault="00D052E3" w:rsidP="000C25CC">
            <w:pPr>
              <w:spacing w:before="100" w:beforeAutospacing="1" w:after="120"/>
              <w:ind w:left="283"/>
              <w:jc w:val="both"/>
              <w:rPr>
                <w:rFonts w:ascii="Arial" w:hAnsi="Arial" w:cs="Arial"/>
                <w:sz w:val="20"/>
                <w:szCs w:val="20"/>
              </w:rPr>
            </w:pPr>
            <w:r>
              <w:rPr>
                <w:rFonts w:ascii="Arial" w:hAnsi="Arial" w:cs="Arial"/>
                <w:sz w:val="20"/>
                <w:szCs w:val="20"/>
              </w:rPr>
              <w:t xml:space="preserve">Professeur de l’enseignement supérieur </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321 D</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363 D</w:t>
            </w:r>
          </w:p>
        </w:tc>
        <w:tc>
          <w:tcPr>
            <w:tcW w:w="2226" w:type="dxa"/>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405 D</w:t>
            </w:r>
          </w:p>
        </w:tc>
      </w:tr>
      <w:tr w:rsidR="00D052E3" w:rsidTr="000C25CC">
        <w:tc>
          <w:tcPr>
            <w:tcW w:w="2607" w:type="dxa"/>
          </w:tcPr>
          <w:p w:rsidR="00D052E3" w:rsidRDefault="00D052E3" w:rsidP="000C25CC">
            <w:pPr>
              <w:spacing w:before="100" w:beforeAutospacing="1" w:after="120"/>
              <w:ind w:left="283"/>
              <w:jc w:val="both"/>
              <w:rPr>
                <w:rFonts w:ascii="Arial" w:hAnsi="Arial" w:cs="Arial"/>
                <w:sz w:val="20"/>
                <w:szCs w:val="20"/>
              </w:rPr>
            </w:pPr>
            <w:r>
              <w:rPr>
                <w:rFonts w:ascii="Arial" w:hAnsi="Arial" w:cs="Arial"/>
                <w:sz w:val="20"/>
                <w:szCs w:val="20"/>
              </w:rPr>
              <w:t>Maitre de conférences</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265 D</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300 D</w:t>
            </w:r>
          </w:p>
        </w:tc>
        <w:tc>
          <w:tcPr>
            <w:tcW w:w="2226" w:type="dxa"/>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335 D</w:t>
            </w:r>
          </w:p>
        </w:tc>
      </w:tr>
      <w:tr w:rsidR="00D052E3" w:rsidTr="000C25CC">
        <w:tc>
          <w:tcPr>
            <w:tcW w:w="2607" w:type="dxa"/>
          </w:tcPr>
          <w:p w:rsidR="00D052E3" w:rsidRDefault="00D052E3" w:rsidP="000C25CC">
            <w:pPr>
              <w:spacing w:before="100" w:beforeAutospacing="1" w:after="120"/>
              <w:ind w:left="283"/>
              <w:jc w:val="both"/>
              <w:rPr>
                <w:rFonts w:ascii="Arial" w:hAnsi="Arial" w:cs="Arial"/>
                <w:sz w:val="20"/>
                <w:szCs w:val="20"/>
              </w:rPr>
            </w:pPr>
            <w:r>
              <w:rPr>
                <w:rFonts w:ascii="Arial" w:hAnsi="Arial" w:cs="Arial"/>
                <w:sz w:val="20"/>
                <w:szCs w:val="20"/>
              </w:rPr>
              <w:t>Maitre-assistant</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216 D</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238 D</w:t>
            </w:r>
          </w:p>
        </w:tc>
        <w:tc>
          <w:tcPr>
            <w:tcW w:w="2226" w:type="dxa"/>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260 D</w:t>
            </w:r>
          </w:p>
        </w:tc>
      </w:tr>
      <w:tr w:rsidR="00D052E3" w:rsidTr="000C25CC">
        <w:tc>
          <w:tcPr>
            <w:tcW w:w="2607" w:type="dxa"/>
          </w:tcPr>
          <w:p w:rsidR="00D052E3" w:rsidRDefault="00D052E3" w:rsidP="000C25CC">
            <w:pPr>
              <w:spacing w:before="100" w:beforeAutospacing="1" w:after="120"/>
              <w:ind w:left="283"/>
              <w:jc w:val="both"/>
              <w:rPr>
                <w:rFonts w:ascii="Arial" w:hAnsi="Arial" w:cs="Arial"/>
                <w:sz w:val="20"/>
                <w:szCs w:val="20"/>
              </w:rPr>
            </w:pPr>
            <w:r>
              <w:rPr>
                <w:rFonts w:ascii="Arial" w:hAnsi="Arial" w:cs="Arial"/>
                <w:sz w:val="20"/>
                <w:szCs w:val="20"/>
              </w:rPr>
              <w:t xml:space="preserve">Assistant </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166 D</w:t>
            </w:r>
          </w:p>
        </w:tc>
        <w:tc>
          <w:tcPr>
            <w:tcW w:w="2635" w:type="dxa"/>
            <w:vAlign w:val="center"/>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183 D</w:t>
            </w:r>
          </w:p>
        </w:tc>
        <w:tc>
          <w:tcPr>
            <w:tcW w:w="2226" w:type="dxa"/>
          </w:tcPr>
          <w:p w:rsidR="00D052E3" w:rsidRDefault="00D052E3" w:rsidP="000C25CC">
            <w:pPr>
              <w:spacing w:before="100" w:beforeAutospacing="1" w:after="120"/>
              <w:ind w:left="283"/>
              <w:jc w:val="center"/>
              <w:rPr>
                <w:rFonts w:ascii="Arial" w:hAnsi="Arial" w:cs="Arial"/>
                <w:sz w:val="20"/>
                <w:szCs w:val="20"/>
              </w:rPr>
            </w:pPr>
            <w:r>
              <w:rPr>
                <w:rFonts w:ascii="Arial" w:hAnsi="Arial" w:cs="Arial"/>
                <w:sz w:val="20"/>
                <w:szCs w:val="20"/>
              </w:rPr>
              <w:t>200 D</w:t>
            </w:r>
          </w:p>
        </w:tc>
      </w:tr>
    </w:tbl>
    <w:p w:rsidR="00EB6D40"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b/>
          <w:bCs/>
          <w:i/>
          <w:iCs/>
          <w:color w:val="000000"/>
          <w:spacing w:val="13"/>
          <w:sz w:val="20"/>
          <w:szCs w:val="20"/>
        </w:rPr>
        <w:t>Art. 4. -</w:t>
      </w:r>
      <w:r w:rsidRPr="00EB6D40">
        <w:rPr>
          <w:rFonts w:asciiTheme="minorBidi" w:hAnsiTheme="minorBidi"/>
          <w:color w:val="000000"/>
          <w:spacing w:val="13"/>
          <w:sz w:val="20"/>
          <w:szCs w:val="20"/>
        </w:rPr>
        <w:t xml:space="preserve"> Le ministre des finances et les ministres</w:t>
      </w:r>
      <w:r w:rsidRPr="00EB6D40">
        <w:rPr>
          <w:rFonts w:asciiTheme="minorBidi" w:hAnsiTheme="minorBidi"/>
          <w:color w:val="000000"/>
          <w:spacing w:val="23"/>
          <w:sz w:val="20"/>
          <w:szCs w:val="20"/>
        </w:rPr>
        <w:t xml:space="preserve"> </w:t>
      </w:r>
      <w:r w:rsidR="00055D5A" w:rsidRPr="00EB6D40">
        <w:rPr>
          <w:rFonts w:asciiTheme="minorBidi" w:hAnsiTheme="minorBidi"/>
          <w:color w:val="000000"/>
          <w:spacing w:val="4"/>
          <w:sz w:val="20"/>
          <w:szCs w:val="20"/>
        </w:rPr>
        <w:t>concernés sont chargé</w:t>
      </w:r>
      <w:r w:rsidRPr="00EB6D40">
        <w:rPr>
          <w:rFonts w:asciiTheme="minorBidi" w:hAnsiTheme="minorBidi"/>
          <w:color w:val="000000"/>
          <w:spacing w:val="4"/>
          <w:sz w:val="20"/>
          <w:szCs w:val="20"/>
        </w:rPr>
        <w:t>s, chacun en ce qui le concerne, de</w:t>
      </w:r>
      <w:r w:rsidRPr="00EB6D40">
        <w:rPr>
          <w:rFonts w:asciiTheme="minorBidi" w:hAnsiTheme="minorBidi"/>
          <w:color w:val="000000"/>
          <w:spacing w:val="14"/>
          <w:sz w:val="20"/>
          <w:szCs w:val="20"/>
        </w:rPr>
        <w:t xml:space="preserve"> </w:t>
      </w:r>
      <w:r w:rsidR="00055D5A" w:rsidRPr="00EB6D40">
        <w:rPr>
          <w:rFonts w:asciiTheme="minorBidi" w:hAnsiTheme="minorBidi"/>
          <w:color w:val="000000"/>
          <w:spacing w:val="8"/>
          <w:sz w:val="20"/>
          <w:szCs w:val="20"/>
        </w:rPr>
        <w:t>l'exécution du présent décret qui sera publié</w:t>
      </w:r>
      <w:r w:rsidRPr="00EB6D40">
        <w:rPr>
          <w:rFonts w:asciiTheme="minorBidi" w:hAnsiTheme="minorBidi"/>
          <w:color w:val="000000"/>
          <w:spacing w:val="8"/>
          <w:sz w:val="20"/>
          <w:szCs w:val="20"/>
        </w:rPr>
        <w:t xml:space="preserve"> au Journal</w:t>
      </w:r>
      <w:r w:rsidRPr="00EB6D40">
        <w:rPr>
          <w:rFonts w:asciiTheme="minorBidi" w:hAnsiTheme="minorBidi"/>
          <w:color w:val="000000"/>
          <w:spacing w:val="18"/>
          <w:sz w:val="20"/>
          <w:szCs w:val="20"/>
        </w:rPr>
        <w:t xml:space="preserve"> </w:t>
      </w:r>
      <w:r w:rsidR="00055D5A" w:rsidRPr="00EB6D40">
        <w:rPr>
          <w:rFonts w:asciiTheme="minorBidi" w:hAnsiTheme="minorBidi"/>
          <w:color w:val="000000"/>
          <w:spacing w:val="8"/>
          <w:sz w:val="20"/>
          <w:szCs w:val="20"/>
        </w:rPr>
        <w:t>Officiel de la Ré</w:t>
      </w:r>
      <w:r w:rsidRPr="00EB6D40">
        <w:rPr>
          <w:rFonts w:asciiTheme="minorBidi" w:hAnsiTheme="minorBidi"/>
          <w:color w:val="000000"/>
          <w:spacing w:val="8"/>
          <w:sz w:val="20"/>
          <w:szCs w:val="20"/>
        </w:rPr>
        <w:t>publique Tunisienne.</w:t>
      </w:r>
    </w:p>
    <w:p w:rsidR="006D3425" w:rsidRPr="00EB6D40" w:rsidRDefault="007D1D49" w:rsidP="00EB6D40">
      <w:pPr>
        <w:spacing w:before="100" w:beforeAutospacing="1" w:after="0" w:line="240" w:lineRule="auto"/>
        <w:ind w:left="283"/>
        <w:jc w:val="both"/>
        <w:rPr>
          <w:rFonts w:asciiTheme="minorBidi" w:hAnsiTheme="minorBidi"/>
          <w:sz w:val="20"/>
          <w:szCs w:val="20"/>
        </w:rPr>
      </w:pPr>
      <w:r w:rsidRPr="00EB6D40">
        <w:rPr>
          <w:rFonts w:asciiTheme="minorBidi" w:hAnsiTheme="minorBidi"/>
          <w:b/>
          <w:bCs/>
          <w:color w:val="000000"/>
          <w:spacing w:val="4"/>
          <w:sz w:val="20"/>
          <w:szCs w:val="20"/>
        </w:rPr>
        <w:t>Tunis, le 31 janvier 2000.</w:t>
      </w:r>
      <w:r w:rsidR="00EB6D40">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t0"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5E7JwIAAE4EAAAOAAAAZHJzL2Uyb0RvYy54bWysVE2P0zAQvSPxHyzfadrSLmzUdLV0KUJa&#10;PqTCeeXaTmLheMzYbbr8esZOt0TACZGDNeOx37x548nq5tRZdtQYDLiKzyZTzrSToIxrKv71y/bF&#10;a85CFE4JC05X/FEHfrN+/mzV+1LPoQWrNDICcaHsfcXbGH1ZFEG2uhNhAl47CtaAnYjkYlMoFD2h&#10;d7aYT6dXRQ+oPILUIdDu3RDk64xf11rGT3UddGS24sQt5hXzuk9rsV6JskHhWyPPNMQ/sOiEcZT0&#10;AnUnomAHNH9AdUYiBKjjREJXQF0bqXMNVM1s+ls1u1Z4nWshcYK/yBT+H6z8ePyMzCjqHWdOdNSi&#10;h9OUvodIcrVGKZ36mnTqfSjp+M7ThXh6A6e0n2oO/h7kt8Ac7LQlxQcs2LTCNfoWEfpWC0WkM0wx&#10;whlAQ0Lc9x9AUXZxiJBRTzV2CZ00YpSK2DxeGqZPkUnavHq5JKqcSQqdbSJaiPLpsscQ32noWDIq&#10;jsQug4vjfYjD0acjuRKwRm2NtdnBZr+xyI6C3s42f0kGQg/jY9axvuLXy/lyEGMcC2OIpCqR/QsE&#10;wsEp2hdlEurt2Y7C2MGmlNZR5qRcEmuQbQ/qkYRDGB41DSEZLeAPznp60BUP3w8CNWf2vSPxr2eL&#10;RZqA7CyWr+bk4DiyH0eEkwRV8cjZYG7iMDUHj6Zpc48TYQe31LDaZDETv4HVmSw92izYecDSVIz9&#10;fOrXb2D9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OHOROycCAABOBAAADgAAAAAAAAAAAAAAAAAuAgAAZHJzL2Uyb0RvYy54bWxQ&#10;SwECLQAUAAYACAAAACEAjqBz5dcAAAAFAQAADwAAAAAAAAAAAAAAAACBBAAAZHJzL2Rvd25yZXYu&#10;eG1sUEsFBgAAAAAEAAQA8wAAAIUFAAAAAA==&#10;">
                <v:stroke joinstyle="round"/>
                <o:lock v:ext="edit" selection="t"/>
              </v:shape>
            </w:pict>
          </mc:Fallback>
        </mc:AlternateContent>
      </w:r>
    </w:p>
    <w:sectPr w:rsidR="006D3425" w:rsidRPr="00EB6D40" w:rsidSect="006D3425">
      <w:type w:val="continuous"/>
      <w:pgSz w:w="11918" w:h="16854"/>
      <w:pgMar w:top="1134" w:right="789" w:bottom="1642" w:left="850" w:header="720" w:footer="72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22635452"/>
  </w:font>
  <w:font w:name="Arial">
    <w:charset w:val="00"/>
    <w:pitch w:val="variable"/>
    <w:family w:val="swiss"/>
    <w:panose1 w:val="22635452"/>
  </w:font>
  <w:font w:name="Bookman Old Style">
    <w:charset w:val="00"/>
    <w:pitch w:val="variable"/>
    <w:family w:val="roman"/>
    <w:panose1 w:val="22635452"/>
  </w:font>
  <w:font w:name="Courier New">
    <w:charset w:val="00"/>
    <w:pitch w:val="fixed"/>
    <w:family w:val="modern"/>
    <w:panose1 w:val="22635452"/>
  </w:font>
  <w:font w:name="Arial Narrow">
    <w:charset w:val="00"/>
    <w:pitch w:val="variable"/>
    <w:family w:val="swiss"/>
    <w:panose1 w:val="22635452"/>
  </w:font>
  <w:font w:name="Times New Roman">
    <w:charset w:val="00"/>
    <w:pitch w:val="variable"/>
    <w:family w:val="auto"/>
    <w:panose1 w:val="2263545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25"/>
    <w:rsid w:val="00055D5A"/>
    <w:rsid w:val="000E026C"/>
    <w:rsid w:val="004E7D08"/>
    <w:rsid w:val="006D3425"/>
    <w:rsid w:val="007D1D49"/>
    <w:rsid w:val="00D052E3"/>
    <w:rsid w:val="00EB6D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Assist.Wided</dc:creator>
  <cp:lastModifiedBy>Assist.Wided</cp:lastModifiedBy>
  <cp:revision>3</cp:revision>
  <dcterms:created xsi:type="dcterms:W3CDTF">2012-04-02T16:19:00Z</dcterms:created>
  <dcterms:modified xsi:type="dcterms:W3CDTF">2012-04-02T16:36:00Z</dcterms:modified>
</cp:coreProperties>
</file>