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65C54" w14:textId="75251064" w:rsidR="00364345" w:rsidRPr="008A7331" w:rsidRDefault="00364345" w:rsidP="006E6C88">
      <w:pPr>
        <w:widowControl w:val="0"/>
        <w:autoSpaceDE w:val="0"/>
        <w:autoSpaceDN w:val="0"/>
        <w:adjustRightInd w:val="0"/>
        <w:spacing w:before="100" w:beforeAutospacing="1" w:after="0" w:line="240" w:lineRule="auto"/>
        <w:ind w:left="284"/>
        <w:jc w:val="both"/>
        <w:rPr>
          <w:rFonts w:ascii="Arial" w:hAnsi="Arial" w:cs="Arial"/>
          <w:sz w:val="20"/>
          <w:szCs w:val="20"/>
        </w:rPr>
      </w:pPr>
      <w:bookmarkStart w:id="0" w:name="_GoBack"/>
      <w:bookmarkEnd w:id="0"/>
    </w:p>
    <w:p w14:paraId="0077A9FF" w14:textId="6DD591BF" w:rsidR="008A7331" w:rsidRPr="008A7331" w:rsidRDefault="008A7331" w:rsidP="006E6C88">
      <w:pPr>
        <w:spacing w:before="100" w:beforeAutospacing="1" w:after="0"/>
        <w:ind w:left="284"/>
        <w:jc w:val="both"/>
        <w:rPr>
          <w:rStyle w:val="Accentuation"/>
          <w:rFonts w:ascii="Arial" w:hAnsi="Arial" w:cs="Arial"/>
          <w:b/>
          <w:bCs/>
          <w:i w:val="0"/>
          <w:iCs w:val="0"/>
          <w:color w:val="000000"/>
          <w:sz w:val="24"/>
          <w:szCs w:val="24"/>
          <w:shd w:val="clear" w:color="auto" w:fill="FFFFFF"/>
        </w:rPr>
      </w:pPr>
      <w:r w:rsidRPr="008A7331">
        <w:rPr>
          <w:rStyle w:val="Accentuation"/>
          <w:rFonts w:ascii="Arial" w:hAnsi="Arial" w:cs="Arial"/>
          <w:b/>
          <w:bCs/>
          <w:i w:val="0"/>
          <w:iCs w:val="0"/>
          <w:color w:val="000000"/>
          <w:sz w:val="24"/>
          <w:szCs w:val="24"/>
          <w:shd w:val="clear" w:color="auto" w:fill="FFFFFF"/>
        </w:rPr>
        <w:t xml:space="preserve">Décret n° 2000-1034 du 15 mai 2000, portant majoration des taux de l’indemnité de risque militaire allouée aux officiers, sous-officiers et hommes de troupe de l’armée de terre, de l’air et </w:t>
      </w:r>
      <w:r w:rsidR="00F018C9">
        <w:rPr>
          <w:rStyle w:val="Accentuation"/>
          <w:rFonts w:ascii="Arial" w:hAnsi="Arial" w:cs="Arial"/>
          <w:b/>
          <w:bCs/>
          <w:i w:val="0"/>
          <w:iCs w:val="0"/>
          <w:color w:val="000000"/>
          <w:sz w:val="24"/>
          <w:szCs w:val="24"/>
          <w:shd w:val="clear" w:color="auto" w:fill="FFFFFF"/>
        </w:rPr>
        <w:t>de mer au titre de l’année 2000</w:t>
      </w:r>
    </w:p>
    <w:p w14:paraId="09C140A8"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Le Président de la République,</w:t>
      </w:r>
    </w:p>
    <w:p w14:paraId="55DA162B"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Sur proposition du ministre de la défense nationale,</w:t>
      </w:r>
    </w:p>
    <w:p w14:paraId="2A914A40"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la loi n° 67-20 du 31 mai 1967, portant statut général des militaires, ensemble les textes qui l’ont modifiée ou complétée et notamment la loi n° 87-82 du 31 décembre 1987,</w:t>
      </w:r>
    </w:p>
    <w:p w14:paraId="22DA3425"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67-158 du 31 mai 1967, fixant le régime des indemnités allouées aux militaires de l’armée de terre, ensemble les textes qui l’ont modifié ou complété et notamment le décret n° 93-53 du 11 janvier 1993,</w:t>
      </w:r>
    </w:p>
    <w:p w14:paraId="280F4071"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68-385 du 12 décembre 1968, relatif aux indemnités allouées aux militaires de l’armée de l’air, ensemble les textes qui l’ont modifié ou complété et notamment le décret n° 93-52 du 11 janvier 1993,</w:t>
      </w:r>
    </w:p>
    <w:p w14:paraId="6C27F016"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68-389 du 12 décembre 1968, relatif aux indemnités allouées aux militaires de l’armée de mer, ensemble les textes qui l’ont modifié ou complété et notamment le décret n° 93-54 du 11 janvier 1993,</w:t>
      </w:r>
    </w:p>
    <w:p w14:paraId="53326F4E"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72-380 du 06 décembre 1972, portant statut particulier des militaires, ensemble les textes qui l’ont modifié ou complété et notamment le décret n° 99-1207 du 31 mai 1999,</w:t>
      </w:r>
    </w:p>
    <w:p w14:paraId="50E4F227"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79-96 du 11 janvier 1979, fixant la solde des militaires non classés dans la grille indiciaire de la fonction publique et le régime de l’alimentation dans l’armée, ensemble les textes qui l’ont modifié ou complété et notamment le décret n° 88-909 du 26 avril 1988,</w:t>
      </w:r>
    </w:p>
    <w:p w14:paraId="7A2AB4CE"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du 16 mars 1982, portant attribution d’une indemnité dite de risque militaire au profit des officiers, sous-officiers et hommes de troupe de l’armée de terre, de l’air et de mer, ensemble les textes qui l’ont modifié ou complété et notamment le décret n° 93-2125 du 25 octobre 1993,</w:t>
      </w:r>
    </w:p>
    <w:p w14:paraId="53673F97"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96-1992 du 23 octobre 1996, portant majoration des taux de l’indemnité de risque militaire allouée aux officiers, sous-officiers et hommes de troupe de l’armée de terre, de l’air et de mer et fixation de l’augmentation globale des salaires durant la période 1996-1998 au profit des agents bénéficiaires de cette indemnité,</w:t>
      </w:r>
    </w:p>
    <w:p w14:paraId="3AFF6E54"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97-904 du 19 mai 1997, portant majoration des taux de l’indemnité de risque militaire allouée aux officiers, sous-officiers et hommes de troupe de l’armée de terre, de l’air et de mer au titre de l’année 1997,</w:t>
      </w:r>
    </w:p>
    <w:p w14:paraId="74386A9F"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le décret n° 98-1297 du 15 juin 1998, portant majoration des taux de l’indemnité de risque militaire allouée aux officiers, sous-officiers et hommes de troupe de l’armée de terre, de l’air et de mer au titre de l’année 1998,</w:t>
      </w:r>
    </w:p>
    <w:p w14:paraId="335F5B5C"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 xml:space="preserve">Vu le décret n° 99-2123 du 27 septembre 1999, portant fixation de l’augmentation globale des taux de l’indemnité de risque militaire durant la période 1999 – 2001 et octroi de la première tranche au profit des </w:t>
      </w:r>
      <w:r w:rsidRPr="008A7331">
        <w:rPr>
          <w:rStyle w:val="Accentuation"/>
          <w:rFonts w:ascii="Arial" w:hAnsi="Arial" w:cs="Arial"/>
          <w:i w:val="0"/>
          <w:iCs w:val="0"/>
          <w:color w:val="000000"/>
          <w:sz w:val="20"/>
          <w:szCs w:val="20"/>
          <w:shd w:val="clear" w:color="auto" w:fill="FFFFFF"/>
        </w:rPr>
        <w:lastRenderedPageBreak/>
        <w:t>officiers, sous-officiers et hommes de troupe de l’armée de terre, de l’air et de mer bénéficiaires de cette indemnité,</w:t>
      </w:r>
    </w:p>
    <w:p w14:paraId="6C40AD2A"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l’avis du ministre des finances,</w:t>
      </w:r>
    </w:p>
    <w:p w14:paraId="08400ECF"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Vu l’avis du tribunal administratif,</w:t>
      </w:r>
    </w:p>
    <w:p w14:paraId="1C84DA11" w14:textId="77777777"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i w:val="0"/>
          <w:iCs w:val="0"/>
          <w:color w:val="000000"/>
          <w:sz w:val="20"/>
          <w:szCs w:val="20"/>
          <w:shd w:val="clear" w:color="auto" w:fill="FFFFFF"/>
        </w:rPr>
        <w:t>Décrète :</w:t>
      </w:r>
    </w:p>
    <w:p w14:paraId="2FAE80DD" w14:textId="10A3FF52" w:rsid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b/>
          <w:bCs/>
          <w:color w:val="000000"/>
          <w:sz w:val="20"/>
          <w:szCs w:val="20"/>
          <w:shd w:val="clear" w:color="auto" w:fill="FFFFFF"/>
        </w:rPr>
        <w:t>Article premier</w:t>
      </w:r>
      <w:r w:rsidRPr="008A7331">
        <w:rPr>
          <w:rStyle w:val="Accentuation"/>
          <w:rFonts w:ascii="Arial" w:hAnsi="Arial" w:cs="Arial"/>
          <w:i w:val="0"/>
          <w:iCs w:val="0"/>
          <w:color w:val="000000"/>
          <w:sz w:val="20"/>
          <w:szCs w:val="20"/>
          <w:shd w:val="clear" w:color="auto" w:fill="FFFFFF"/>
        </w:rPr>
        <w:t xml:space="preserve"> – Sont majorés, à compter du 1er juillet 2000, les taux de l’indemnité de risque militaire, prévus aux décrets susvisés, conformément aux indications </w:t>
      </w:r>
      <w:r w:rsidR="002E41D2" w:rsidRPr="008A7331">
        <w:rPr>
          <w:rStyle w:val="Accentuation"/>
          <w:rFonts w:ascii="Arial" w:hAnsi="Arial" w:cs="Arial"/>
          <w:i w:val="0"/>
          <w:iCs w:val="0"/>
          <w:color w:val="000000"/>
          <w:sz w:val="20"/>
          <w:szCs w:val="20"/>
          <w:shd w:val="clear" w:color="auto" w:fill="FFFFFF"/>
        </w:rPr>
        <w:t>du tableau</w:t>
      </w:r>
      <w:r w:rsidRPr="008A7331">
        <w:rPr>
          <w:rStyle w:val="Accentuation"/>
          <w:rFonts w:ascii="Arial" w:hAnsi="Arial" w:cs="Arial"/>
          <w:i w:val="0"/>
          <w:iCs w:val="0"/>
          <w:color w:val="000000"/>
          <w:sz w:val="20"/>
          <w:szCs w:val="20"/>
          <w:shd w:val="clear" w:color="auto" w:fill="FFFFFF"/>
        </w:rPr>
        <w:t xml:space="preserve"> ci-après :</w:t>
      </w:r>
    </w:p>
    <w:tbl>
      <w:tblPr>
        <w:tblStyle w:val="Grilledutableau"/>
        <w:tblW w:w="0" w:type="auto"/>
        <w:tblInd w:w="392" w:type="dxa"/>
        <w:tblLook w:val="04A0" w:firstRow="1" w:lastRow="0" w:firstColumn="1" w:lastColumn="0" w:noHBand="0" w:noVBand="1"/>
      </w:tblPr>
      <w:tblGrid>
        <w:gridCol w:w="2866"/>
        <w:gridCol w:w="3259"/>
        <w:gridCol w:w="3259"/>
      </w:tblGrid>
      <w:tr w:rsidR="000626F1" w:rsidRPr="00481D3A" w14:paraId="34086F62" w14:textId="77777777" w:rsidTr="00F018C9">
        <w:tc>
          <w:tcPr>
            <w:tcW w:w="9384" w:type="dxa"/>
            <w:gridSpan w:val="3"/>
            <w:vAlign w:val="center"/>
          </w:tcPr>
          <w:p w14:paraId="111AC34E" w14:textId="77777777" w:rsidR="000626F1" w:rsidRDefault="000626F1" w:rsidP="00802762">
            <w:pPr>
              <w:widowControl w:val="0"/>
              <w:autoSpaceDE w:val="0"/>
              <w:autoSpaceDN w:val="0"/>
              <w:adjustRightInd w:val="0"/>
              <w:spacing w:before="100" w:beforeAutospacing="1" w:after="0" w:line="196" w:lineRule="exact"/>
              <w:ind w:left="284" w:firstLine="278"/>
              <w:jc w:val="center"/>
              <w:rPr>
                <w:rFonts w:ascii="Arial" w:eastAsia="Times New Roman" w:hAnsi="Arial" w:cs="Arial"/>
                <w:sz w:val="20"/>
                <w:szCs w:val="20"/>
              </w:rPr>
            </w:pPr>
          </w:p>
          <w:p w14:paraId="4AC347B3" w14:textId="77777777" w:rsidR="000626F1" w:rsidRPr="00F018C9" w:rsidRDefault="000626F1" w:rsidP="00802762">
            <w:pPr>
              <w:widowControl w:val="0"/>
              <w:autoSpaceDE w:val="0"/>
              <w:autoSpaceDN w:val="0"/>
              <w:adjustRightInd w:val="0"/>
              <w:spacing w:before="100" w:beforeAutospacing="1" w:after="0" w:line="196" w:lineRule="exact"/>
              <w:ind w:left="284" w:firstLine="278"/>
              <w:jc w:val="center"/>
              <w:rPr>
                <w:rFonts w:ascii="Arial" w:eastAsia="Times New Roman" w:hAnsi="Arial" w:cs="Arial"/>
                <w:b/>
                <w:bCs/>
                <w:sz w:val="20"/>
                <w:szCs w:val="20"/>
              </w:rPr>
            </w:pPr>
            <w:r w:rsidRPr="00F018C9">
              <w:rPr>
                <w:rFonts w:ascii="Arial" w:eastAsia="Times New Roman" w:hAnsi="Arial" w:cs="Arial"/>
                <w:b/>
                <w:bCs/>
                <w:sz w:val="20"/>
                <w:szCs w:val="20"/>
              </w:rPr>
              <w:t>Personnels militaires classés dans la grille indiciaire de la fonction publique.</w:t>
            </w:r>
          </w:p>
          <w:p w14:paraId="40A278FE" w14:textId="77777777" w:rsidR="000626F1" w:rsidRPr="00481D3A" w:rsidRDefault="000626F1" w:rsidP="00802762">
            <w:pPr>
              <w:spacing w:before="100" w:beforeAutospacing="1" w:after="0"/>
              <w:ind w:left="284"/>
              <w:jc w:val="center"/>
              <w:rPr>
                <w:rFonts w:ascii="Arial" w:hAnsi="Arial" w:cs="Arial"/>
                <w:i/>
                <w:iCs/>
                <w:sz w:val="20"/>
                <w:szCs w:val="20"/>
              </w:rPr>
            </w:pPr>
          </w:p>
        </w:tc>
      </w:tr>
      <w:tr w:rsidR="000626F1" w:rsidRPr="00481D3A" w14:paraId="2D2CA677" w14:textId="77777777" w:rsidTr="00F018C9">
        <w:tc>
          <w:tcPr>
            <w:tcW w:w="2866" w:type="dxa"/>
            <w:vAlign w:val="bottom"/>
          </w:tcPr>
          <w:p w14:paraId="42A5C48A" w14:textId="77777777" w:rsidR="000626F1" w:rsidRPr="00481D3A" w:rsidRDefault="000626F1" w:rsidP="00F018C9">
            <w:pPr>
              <w:spacing w:before="100" w:beforeAutospacing="1" w:after="0"/>
              <w:ind w:left="284"/>
              <w:jc w:val="center"/>
              <w:rPr>
                <w:rFonts w:ascii="Arial" w:hAnsi="Arial" w:cs="Arial"/>
                <w:sz w:val="20"/>
                <w:szCs w:val="20"/>
              </w:rPr>
            </w:pPr>
            <w:r w:rsidRPr="00481D3A">
              <w:rPr>
                <w:rFonts w:ascii="Arial" w:hAnsi="Arial" w:cs="Arial"/>
                <w:sz w:val="20"/>
                <w:szCs w:val="20"/>
              </w:rPr>
              <w:t>Catégorie</w:t>
            </w:r>
          </w:p>
          <w:p w14:paraId="6C71B5FA" w14:textId="77777777" w:rsidR="000626F1" w:rsidRPr="00481D3A" w:rsidRDefault="000626F1" w:rsidP="00F018C9">
            <w:pPr>
              <w:spacing w:before="100" w:beforeAutospacing="1" w:after="0"/>
              <w:ind w:left="284"/>
              <w:jc w:val="center"/>
              <w:rPr>
                <w:rFonts w:ascii="Arial" w:hAnsi="Arial" w:cs="Arial"/>
                <w:sz w:val="20"/>
                <w:szCs w:val="20"/>
              </w:rPr>
            </w:pPr>
          </w:p>
        </w:tc>
        <w:tc>
          <w:tcPr>
            <w:tcW w:w="3259" w:type="dxa"/>
            <w:vAlign w:val="bottom"/>
          </w:tcPr>
          <w:p w14:paraId="615F1B79" w14:textId="77777777" w:rsidR="000626F1" w:rsidRPr="00481D3A" w:rsidRDefault="000626F1" w:rsidP="00F018C9">
            <w:pPr>
              <w:spacing w:before="100" w:beforeAutospacing="1" w:after="0"/>
              <w:ind w:left="284"/>
              <w:jc w:val="center"/>
              <w:rPr>
                <w:rFonts w:ascii="Arial" w:hAnsi="Arial" w:cs="Arial"/>
                <w:sz w:val="20"/>
                <w:szCs w:val="20"/>
              </w:rPr>
            </w:pPr>
            <w:r w:rsidRPr="00481D3A">
              <w:rPr>
                <w:rFonts w:ascii="Arial" w:hAnsi="Arial" w:cs="Arial"/>
                <w:sz w:val="20"/>
                <w:szCs w:val="20"/>
              </w:rPr>
              <w:t>Grade</w:t>
            </w:r>
          </w:p>
          <w:p w14:paraId="18ADE121" w14:textId="77777777" w:rsidR="000626F1" w:rsidRPr="00481D3A" w:rsidRDefault="000626F1" w:rsidP="00F018C9">
            <w:pPr>
              <w:spacing w:before="100" w:beforeAutospacing="1" w:after="0"/>
              <w:ind w:left="284"/>
              <w:jc w:val="center"/>
              <w:rPr>
                <w:rFonts w:ascii="Arial" w:hAnsi="Arial" w:cs="Arial"/>
                <w:sz w:val="20"/>
                <w:szCs w:val="20"/>
              </w:rPr>
            </w:pPr>
          </w:p>
        </w:tc>
        <w:tc>
          <w:tcPr>
            <w:tcW w:w="3259" w:type="dxa"/>
            <w:vAlign w:val="bottom"/>
          </w:tcPr>
          <w:p w14:paraId="61A25F3E" w14:textId="142682EA" w:rsidR="000626F1" w:rsidRPr="00481D3A" w:rsidRDefault="000626F1" w:rsidP="00F018C9">
            <w:pPr>
              <w:spacing w:before="100" w:beforeAutospacing="1" w:after="0"/>
              <w:ind w:left="284"/>
              <w:jc w:val="center"/>
              <w:rPr>
                <w:rFonts w:ascii="Arial" w:hAnsi="Arial" w:cs="Arial"/>
                <w:sz w:val="20"/>
                <w:szCs w:val="20"/>
              </w:rPr>
            </w:pPr>
            <w:r w:rsidRPr="00481D3A">
              <w:rPr>
                <w:rFonts w:ascii="Arial" w:hAnsi="Arial" w:cs="Arial"/>
                <w:sz w:val="20"/>
                <w:szCs w:val="20"/>
              </w:rPr>
              <w:t xml:space="preserve">Montant mensuel de la majoration à compter du 1er juillet </w:t>
            </w:r>
            <w:r>
              <w:rPr>
                <w:rFonts w:ascii="Arial" w:hAnsi="Arial" w:cs="Arial"/>
                <w:sz w:val="20"/>
                <w:szCs w:val="20"/>
              </w:rPr>
              <w:t>2000</w:t>
            </w:r>
          </w:p>
        </w:tc>
      </w:tr>
      <w:tr w:rsidR="000626F1" w:rsidRPr="00481D3A" w14:paraId="4DED5B1C" w14:textId="77777777" w:rsidTr="00F018C9">
        <w:tc>
          <w:tcPr>
            <w:tcW w:w="2866" w:type="dxa"/>
            <w:vAlign w:val="center"/>
          </w:tcPr>
          <w:p w14:paraId="24FAEE03"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A1</w:t>
            </w:r>
          </w:p>
        </w:tc>
        <w:tc>
          <w:tcPr>
            <w:tcW w:w="3259" w:type="dxa"/>
            <w:vAlign w:val="center"/>
          </w:tcPr>
          <w:p w14:paraId="4989A735"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p>
          <w:p w14:paraId="40E065FC"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Général de corps d'armée</w:t>
            </w:r>
          </w:p>
          <w:p w14:paraId="7BB54431"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Général de division</w:t>
            </w:r>
          </w:p>
          <w:p w14:paraId="74060F39"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Général de brigade Colonel-major</w:t>
            </w:r>
          </w:p>
          <w:p w14:paraId="2782EE7A"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Colonel</w:t>
            </w:r>
          </w:p>
          <w:p w14:paraId="65038008"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Lieutenant-colonel</w:t>
            </w:r>
          </w:p>
          <w:p w14:paraId="52539835" w14:textId="77777777" w:rsidR="000626F1" w:rsidRPr="00F018C9" w:rsidRDefault="000626F1" w:rsidP="00F018C9">
            <w:pPr>
              <w:pStyle w:val="Paragraphedeliste"/>
              <w:numPr>
                <w:ilvl w:val="0"/>
                <w:numId w:val="49"/>
              </w:numPr>
              <w:spacing w:before="100" w:beforeAutospacing="1" w:after="0" w:line="182" w:lineRule="exact"/>
              <w:rPr>
                <w:rFonts w:ascii="Arial" w:eastAsia="Times New Roman" w:hAnsi="Arial" w:cs="Arial"/>
                <w:sz w:val="20"/>
                <w:szCs w:val="20"/>
              </w:rPr>
            </w:pPr>
            <w:r w:rsidRPr="00F018C9">
              <w:rPr>
                <w:rFonts w:ascii="Arial" w:eastAsia="Times New Roman" w:hAnsi="Arial" w:cs="Arial"/>
                <w:sz w:val="20"/>
                <w:szCs w:val="20"/>
              </w:rPr>
              <w:t>Commandant</w:t>
            </w:r>
          </w:p>
        </w:tc>
        <w:tc>
          <w:tcPr>
            <w:tcW w:w="3259" w:type="dxa"/>
            <w:vAlign w:val="center"/>
          </w:tcPr>
          <w:p w14:paraId="6C031945" w14:textId="512C4831" w:rsidR="000626F1" w:rsidRPr="00481D3A" w:rsidRDefault="000626F1" w:rsidP="000626F1">
            <w:pPr>
              <w:spacing w:before="100" w:beforeAutospacing="1" w:after="0"/>
              <w:ind w:left="284"/>
              <w:jc w:val="center"/>
              <w:rPr>
                <w:rFonts w:ascii="Arial" w:hAnsi="Arial" w:cs="Arial"/>
                <w:i/>
                <w:iCs/>
                <w:sz w:val="20"/>
                <w:szCs w:val="20"/>
              </w:rPr>
            </w:pPr>
            <w:r w:rsidRPr="00481D3A">
              <w:rPr>
                <w:rFonts w:ascii="Arial" w:hAnsi="Arial" w:cs="Arial"/>
                <w:i/>
                <w:iCs/>
                <w:sz w:val="20"/>
                <w:szCs w:val="20"/>
              </w:rPr>
              <w:t>3</w:t>
            </w:r>
            <w:r>
              <w:rPr>
                <w:rFonts w:ascii="Arial" w:hAnsi="Arial" w:cs="Arial"/>
                <w:i/>
                <w:iCs/>
                <w:sz w:val="20"/>
                <w:szCs w:val="20"/>
              </w:rPr>
              <w:t>2</w:t>
            </w:r>
            <w:r w:rsidRPr="00481D3A">
              <w:rPr>
                <w:rFonts w:ascii="Arial" w:hAnsi="Arial" w:cs="Arial"/>
                <w:i/>
                <w:iCs/>
                <w:sz w:val="20"/>
                <w:szCs w:val="20"/>
              </w:rPr>
              <w:t>.000 D</w:t>
            </w:r>
          </w:p>
        </w:tc>
      </w:tr>
      <w:tr w:rsidR="000626F1" w:rsidRPr="00481D3A" w14:paraId="5243C7B0" w14:textId="77777777" w:rsidTr="00F018C9">
        <w:tc>
          <w:tcPr>
            <w:tcW w:w="2866" w:type="dxa"/>
            <w:vAlign w:val="center"/>
          </w:tcPr>
          <w:p w14:paraId="25CD225B"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A2</w:t>
            </w:r>
          </w:p>
        </w:tc>
        <w:tc>
          <w:tcPr>
            <w:tcW w:w="3259" w:type="dxa"/>
            <w:vAlign w:val="center"/>
          </w:tcPr>
          <w:p w14:paraId="49ABC716"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Capitaine</w:t>
            </w:r>
          </w:p>
          <w:p w14:paraId="5E018283"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Lieutenant</w:t>
            </w:r>
          </w:p>
          <w:p w14:paraId="7AF8CE87"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Sous-lieutenant</w:t>
            </w:r>
          </w:p>
        </w:tc>
        <w:tc>
          <w:tcPr>
            <w:tcW w:w="3259" w:type="dxa"/>
            <w:vAlign w:val="center"/>
          </w:tcPr>
          <w:p w14:paraId="3618034F" w14:textId="16FE0B1F" w:rsidR="000626F1" w:rsidRPr="00481D3A" w:rsidRDefault="000626F1" w:rsidP="000626F1">
            <w:pPr>
              <w:spacing w:before="100" w:beforeAutospacing="1" w:after="0"/>
              <w:ind w:left="284"/>
              <w:jc w:val="center"/>
              <w:rPr>
                <w:rFonts w:ascii="Arial" w:hAnsi="Arial" w:cs="Arial"/>
                <w:sz w:val="20"/>
                <w:szCs w:val="20"/>
              </w:rPr>
            </w:pPr>
            <w:r w:rsidRPr="00481D3A">
              <w:rPr>
                <w:rFonts w:ascii="Arial" w:hAnsi="Arial" w:cs="Arial"/>
                <w:sz w:val="20"/>
                <w:szCs w:val="20"/>
              </w:rPr>
              <w:t>2</w:t>
            </w:r>
            <w:r>
              <w:rPr>
                <w:rFonts w:ascii="Arial" w:hAnsi="Arial" w:cs="Arial"/>
                <w:sz w:val="20"/>
                <w:szCs w:val="20"/>
              </w:rPr>
              <w:t>8</w:t>
            </w:r>
            <w:r w:rsidRPr="00481D3A">
              <w:rPr>
                <w:rFonts w:ascii="Arial" w:hAnsi="Arial" w:cs="Arial"/>
                <w:sz w:val="20"/>
                <w:szCs w:val="20"/>
              </w:rPr>
              <w:t>.000 D</w:t>
            </w:r>
          </w:p>
        </w:tc>
      </w:tr>
      <w:tr w:rsidR="000626F1" w:rsidRPr="00481D3A" w14:paraId="5F6D2508" w14:textId="77777777" w:rsidTr="00F018C9">
        <w:tc>
          <w:tcPr>
            <w:tcW w:w="2866" w:type="dxa"/>
            <w:vAlign w:val="center"/>
          </w:tcPr>
          <w:p w14:paraId="0D508A8D"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A3</w:t>
            </w:r>
          </w:p>
        </w:tc>
        <w:tc>
          <w:tcPr>
            <w:tcW w:w="3259" w:type="dxa"/>
            <w:vAlign w:val="center"/>
          </w:tcPr>
          <w:p w14:paraId="65DFEE01"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Adjudant-major</w:t>
            </w:r>
          </w:p>
          <w:p w14:paraId="5ABA91B3"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Adjudant-chef (échelle 3)</w:t>
            </w:r>
          </w:p>
          <w:p w14:paraId="42746B1A"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Adjudant (échelle 3)</w:t>
            </w:r>
          </w:p>
        </w:tc>
        <w:tc>
          <w:tcPr>
            <w:tcW w:w="3259" w:type="dxa"/>
            <w:vAlign w:val="center"/>
          </w:tcPr>
          <w:p w14:paraId="073D8D94" w14:textId="23AD2BDD" w:rsidR="000626F1" w:rsidRPr="00481D3A" w:rsidRDefault="000626F1" w:rsidP="000626F1">
            <w:pPr>
              <w:spacing w:before="100" w:beforeAutospacing="1" w:after="0"/>
              <w:ind w:left="284"/>
              <w:jc w:val="center"/>
              <w:rPr>
                <w:rFonts w:ascii="Arial" w:hAnsi="Arial" w:cs="Arial"/>
                <w:sz w:val="20"/>
                <w:szCs w:val="20"/>
              </w:rPr>
            </w:pPr>
            <w:r w:rsidRPr="00481D3A">
              <w:rPr>
                <w:rFonts w:ascii="Arial" w:hAnsi="Arial" w:cs="Arial"/>
                <w:sz w:val="20"/>
                <w:szCs w:val="20"/>
              </w:rPr>
              <w:t>2</w:t>
            </w:r>
            <w:r>
              <w:rPr>
                <w:rFonts w:ascii="Arial" w:hAnsi="Arial" w:cs="Arial"/>
                <w:sz w:val="20"/>
                <w:szCs w:val="20"/>
              </w:rPr>
              <w:t>5</w:t>
            </w:r>
            <w:r w:rsidRPr="00481D3A">
              <w:rPr>
                <w:rFonts w:ascii="Arial" w:hAnsi="Arial" w:cs="Arial"/>
                <w:sz w:val="20"/>
                <w:szCs w:val="20"/>
              </w:rPr>
              <w:t>.000 D</w:t>
            </w:r>
          </w:p>
        </w:tc>
      </w:tr>
      <w:tr w:rsidR="000626F1" w:rsidRPr="00481D3A" w14:paraId="1E021B4A" w14:textId="77777777" w:rsidTr="00F018C9">
        <w:tc>
          <w:tcPr>
            <w:tcW w:w="2866" w:type="dxa"/>
            <w:vAlign w:val="center"/>
          </w:tcPr>
          <w:p w14:paraId="79327B92"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B</w:t>
            </w:r>
          </w:p>
        </w:tc>
        <w:tc>
          <w:tcPr>
            <w:tcW w:w="3259" w:type="dxa"/>
            <w:vAlign w:val="center"/>
          </w:tcPr>
          <w:p w14:paraId="20BB7DD0"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Aspirant</w:t>
            </w:r>
          </w:p>
          <w:p w14:paraId="53D64C15"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Adjudant-chef (échelle 2 et 1)</w:t>
            </w:r>
          </w:p>
          <w:p w14:paraId="5F31B252"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Adjudant (échelle 2 et 1)</w:t>
            </w:r>
          </w:p>
          <w:p w14:paraId="1092D4D3"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Sergent-chef (échelle 3 et 2)</w:t>
            </w:r>
          </w:p>
          <w:p w14:paraId="6BFB5EBE" w14:textId="77777777" w:rsidR="000626F1" w:rsidRPr="00F018C9" w:rsidRDefault="000626F1" w:rsidP="00F018C9">
            <w:pPr>
              <w:pStyle w:val="Paragraphedeliste"/>
              <w:numPr>
                <w:ilvl w:val="0"/>
                <w:numId w:val="49"/>
              </w:numPr>
              <w:spacing w:before="100" w:beforeAutospacing="1" w:after="0"/>
              <w:rPr>
                <w:rFonts w:ascii="Arial" w:hAnsi="Arial" w:cs="Arial"/>
                <w:sz w:val="20"/>
                <w:szCs w:val="20"/>
              </w:rPr>
            </w:pPr>
            <w:r w:rsidRPr="00F018C9">
              <w:rPr>
                <w:rFonts w:ascii="Arial" w:hAnsi="Arial" w:cs="Arial"/>
                <w:sz w:val="20"/>
                <w:szCs w:val="20"/>
              </w:rPr>
              <w:t>Sergent (échelle 3 et 2)</w:t>
            </w:r>
          </w:p>
        </w:tc>
        <w:tc>
          <w:tcPr>
            <w:tcW w:w="3259" w:type="dxa"/>
            <w:vAlign w:val="center"/>
          </w:tcPr>
          <w:p w14:paraId="256E92CA" w14:textId="3C75ED61" w:rsidR="000626F1" w:rsidRPr="00481D3A" w:rsidRDefault="000626F1" w:rsidP="00802762">
            <w:pPr>
              <w:spacing w:before="100" w:beforeAutospacing="1" w:after="0"/>
              <w:ind w:left="284"/>
              <w:jc w:val="center"/>
              <w:rPr>
                <w:rFonts w:ascii="Arial" w:hAnsi="Arial" w:cs="Arial"/>
                <w:sz w:val="20"/>
                <w:szCs w:val="20"/>
              </w:rPr>
            </w:pPr>
            <w:r>
              <w:rPr>
                <w:rFonts w:ascii="Arial" w:hAnsi="Arial" w:cs="Arial"/>
                <w:sz w:val="20"/>
                <w:szCs w:val="20"/>
              </w:rPr>
              <w:t>20</w:t>
            </w:r>
            <w:r w:rsidRPr="00481D3A">
              <w:rPr>
                <w:rFonts w:ascii="Arial" w:hAnsi="Arial" w:cs="Arial"/>
                <w:sz w:val="20"/>
                <w:szCs w:val="20"/>
              </w:rPr>
              <w:t>.000 D</w:t>
            </w:r>
          </w:p>
        </w:tc>
      </w:tr>
      <w:tr w:rsidR="000626F1" w:rsidRPr="00481D3A" w14:paraId="1F135E2E" w14:textId="77777777" w:rsidTr="00F018C9">
        <w:tc>
          <w:tcPr>
            <w:tcW w:w="2866" w:type="dxa"/>
            <w:vAlign w:val="center"/>
          </w:tcPr>
          <w:p w14:paraId="51DD996F"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C</w:t>
            </w:r>
          </w:p>
        </w:tc>
        <w:tc>
          <w:tcPr>
            <w:tcW w:w="3259" w:type="dxa"/>
            <w:vAlign w:val="center"/>
          </w:tcPr>
          <w:p w14:paraId="3D540FF7" w14:textId="77777777" w:rsidR="000626F1" w:rsidRPr="00F018C9" w:rsidRDefault="000626F1" w:rsidP="00F018C9">
            <w:pPr>
              <w:pStyle w:val="Paragraphedeliste"/>
              <w:numPr>
                <w:ilvl w:val="0"/>
                <w:numId w:val="48"/>
              </w:numPr>
              <w:spacing w:before="100" w:beforeAutospacing="1" w:after="0"/>
              <w:rPr>
                <w:rFonts w:ascii="Arial" w:hAnsi="Arial" w:cs="Arial"/>
                <w:sz w:val="20"/>
                <w:szCs w:val="20"/>
              </w:rPr>
            </w:pPr>
            <w:r w:rsidRPr="00F018C9">
              <w:rPr>
                <w:rFonts w:ascii="Arial" w:hAnsi="Arial" w:cs="Arial"/>
                <w:sz w:val="20"/>
                <w:szCs w:val="20"/>
              </w:rPr>
              <w:t>Sergent-chef (échelle 1)</w:t>
            </w:r>
          </w:p>
          <w:p w14:paraId="5CF54BFF" w14:textId="77777777" w:rsidR="000626F1" w:rsidRPr="00F018C9" w:rsidRDefault="000626F1" w:rsidP="00F018C9">
            <w:pPr>
              <w:pStyle w:val="Paragraphedeliste"/>
              <w:numPr>
                <w:ilvl w:val="0"/>
                <w:numId w:val="48"/>
              </w:numPr>
              <w:spacing w:before="100" w:beforeAutospacing="1" w:after="0"/>
              <w:rPr>
                <w:rFonts w:ascii="Arial" w:hAnsi="Arial" w:cs="Arial"/>
                <w:sz w:val="20"/>
                <w:szCs w:val="20"/>
              </w:rPr>
            </w:pPr>
            <w:r w:rsidRPr="00F018C9">
              <w:rPr>
                <w:rFonts w:ascii="Arial" w:hAnsi="Arial" w:cs="Arial"/>
                <w:sz w:val="20"/>
                <w:szCs w:val="20"/>
              </w:rPr>
              <w:t>Sergent (échelle 1)</w:t>
            </w:r>
          </w:p>
        </w:tc>
        <w:tc>
          <w:tcPr>
            <w:tcW w:w="3259" w:type="dxa"/>
            <w:vAlign w:val="center"/>
          </w:tcPr>
          <w:p w14:paraId="49716A99" w14:textId="5D621E2C" w:rsidR="000626F1" w:rsidRPr="00481D3A" w:rsidRDefault="000626F1" w:rsidP="000626F1">
            <w:pPr>
              <w:spacing w:before="100" w:beforeAutospacing="1" w:after="0"/>
              <w:ind w:left="284"/>
              <w:jc w:val="center"/>
              <w:rPr>
                <w:rFonts w:ascii="Arial" w:hAnsi="Arial" w:cs="Arial"/>
                <w:sz w:val="20"/>
                <w:szCs w:val="20"/>
              </w:rPr>
            </w:pPr>
            <w:r w:rsidRPr="00481D3A">
              <w:rPr>
                <w:rFonts w:ascii="Arial" w:hAnsi="Arial" w:cs="Arial"/>
                <w:sz w:val="20"/>
                <w:szCs w:val="20"/>
              </w:rPr>
              <w:t>1</w:t>
            </w:r>
            <w:r>
              <w:rPr>
                <w:rFonts w:ascii="Arial" w:hAnsi="Arial" w:cs="Arial"/>
                <w:sz w:val="20"/>
                <w:szCs w:val="20"/>
              </w:rPr>
              <w:t>7</w:t>
            </w:r>
            <w:r w:rsidRPr="00481D3A">
              <w:rPr>
                <w:rFonts w:ascii="Arial" w:hAnsi="Arial" w:cs="Arial"/>
                <w:sz w:val="20"/>
                <w:szCs w:val="20"/>
              </w:rPr>
              <w:t>.000 D</w:t>
            </w:r>
          </w:p>
        </w:tc>
      </w:tr>
      <w:tr w:rsidR="000626F1" w:rsidRPr="00481D3A" w14:paraId="7630A312" w14:textId="77777777" w:rsidTr="00F018C9">
        <w:tc>
          <w:tcPr>
            <w:tcW w:w="2866" w:type="dxa"/>
            <w:vAlign w:val="center"/>
          </w:tcPr>
          <w:p w14:paraId="4510C215" w14:textId="77777777" w:rsidR="000626F1" w:rsidRPr="00481D3A" w:rsidRDefault="000626F1" w:rsidP="00802762">
            <w:pPr>
              <w:spacing w:before="100" w:beforeAutospacing="1" w:after="0"/>
              <w:ind w:left="284"/>
              <w:jc w:val="center"/>
              <w:rPr>
                <w:rFonts w:ascii="Arial" w:hAnsi="Arial" w:cs="Arial"/>
                <w:sz w:val="20"/>
                <w:szCs w:val="20"/>
              </w:rPr>
            </w:pPr>
            <w:r w:rsidRPr="00481D3A">
              <w:rPr>
                <w:rFonts w:ascii="Arial" w:hAnsi="Arial" w:cs="Arial"/>
                <w:sz w:val="20"/>
                <w:szCs w:val="20"/>
              </w:rPr>
              <w:t>D</w:t>
            </w:r>
          </w:p>
        </w:tc>
        <w:tc>
          <w:tcPr>
            <w:tcW w:w="3259" w:type="dxa"/>
            <w:vAlign w:val="center"/>
          </w:tcPr>
          <w:p w14:paraId="2EF28263" w14:textId="77777777" w:rsidR="000626F1" w:rsidRPr="00F018C9" w:rsidRDefault="000626F1" w:rsidP="00F018C9">
            <w:pPr>
              <w:pStyle w:val="Paragraphedeliste"/>
              <w:numPr>
                <w:ilvl w:val="0"/>
                <w:numId w:val="48"/>
              </w:numPr>
              <w:spacing w:before="100" w:beforeAutospacing="1" w:after="0"/>
              <w:rPr>
                <w:rFonts w:ascii="Arial" w:hAnsi="Arial" w:cs="Arial"/>
                <w:sz w:val="20"/>
                <w:szCs w:val="20"/>
              </w:rPr>
            </w:pPr>
            <w:r w:rsidRPr="00F018C9">
              <w:rPr>
                <w:rFonts w:ascii="Arial" w:hAnsi="Arial" w:cs="Arial"/>
                <w:sz w:val="20"/>
                <w:szCs w:val="20"/>
              </w:rPr>
              <w:t>Caporal</w:t>
            </w:r>
          </w:p>
          <w:p w14:paraId="2880D2E1" w14:textId="77777777" w:rsidR="000626F1" w:rsidRPr="00F018C9" w:rsidRDefault="000626F1" w:rsidP="00F018C9">
            <w:pPr>
              <w:pStyle w:val="Paragraphedeliste"/>
              <w:numPr>
                <w:ilvl w:val="0"/>
                <w:numId w:val="48"/>
              </w:numPr>
              <w:spacing w:before="100" w:beforeAutospacing="1" w:after="0"/>
              <w:rPr>
                <w:rFonts w:ascii="Arial" w:hAnsi="Arial" w:cs="Arial"/>
                <w:sz w:val="20"/>
                <w:szCs w:val="20"/>
              </w:rPr>
            </w:pPr>
            <w:r w:rsidRPr="00F018C9">
              <w:rPr>
                <w:rFonts w:ascii="Arial" w:hAnsi="Arial" w:cs="Arial"/>
                <w:sz w:val="20"/>
                <w:szCs w:val="20"/>
              </w:rPr>
              <w:t>chef Caporal</w:t>
            </w:r>
          </w:p>
        </w:tc>
        <w:tc>
          <w:tcPr>
            <w:tcW w:w="3259" w:type="dxa"/>
            <w:vAlign w:val="center"/>
          </w:tcPr>
          <w:p w14:paraId="7126BD14" w14:textId="7B9EC3E0" w:rsidR="000626F1" w:rsidRPr="00481D3A" w:rsidRDefault="000626F1" w:rsidP="000626F1">
            <w:pPr>
              <w:spacing w:before="100" w:beforeAutospacing="1" w:after="0"/>
              <w:ind w:left="284"/>
              <w:jc w:val="center"/>
              <w:rPr>
                <w:rFonts w:ascii="Arial" w:hAnsi="Arial" w:cs="Arial"/>
                <w:sz w:val="20"/>
                <w:szCs w:val="20"/>
              </w:rPr>
            </w:pPr>
            <w:r w:rsidRPr="00481D3A">
              <w:rPr>
                <w:rFonts w:ascii="Arial" w:hAnsi="Arial" w:cs="Arial"/>
                <w:sz w:val="20"/>
                <w:szCs w:val="20"/>
              </w:rPr>
              <w:t>1</w:t>
            </w:r>
            <w:r>
              <w:rPr>
                <w:rFonts w:ascii="Arial" w:hAnsi="Arial" w:cs="Arial"/>
                <w:sz w:val="20"/>
                <w:szCs w:val="20"/>
              </w:rPr>
              <w:t>5</w:t>
            </w:r>
            <w:r w:rsidRPr="00481D3A">
              <w:rPr>
                <w:rFonts w:ascii="Arial" w:hAnsi="Arial" w:cs="Arial"/>
                <w:sz w:val="20"/>
                <w:szCs w:val="20"/>
              </w:rPr>
              <w:t>.000 D</w:t>
            </w:r>
          </w:p>
        </w:tc>
      </w:tr>
    </w:tbl>
    <w:p w14:paraId="099AC240" w14:textId="77777777" w:rsidR="000626F1" w:rsidRDefault="000626F1" w:rsidP="006E6C88">
      <w:pPr>
        <w:spacing w:before="100" w:beforeAutospacing="1" w:after="0"/>
        <w:ind w:left="284"/>
        <w:jc w:val="both"/>
        <w:rPr>
          <w:rStyle w:val="Accentuation"/>
          <w:rFonts w:ascii="Arial" w:hAnsi="Arial" w:cs="Arial"/>
          <w:i w:val="0"/>
          <w:iCs w:val="0"/>
          <w:color w:val="000000"/>
          <w:sz w:val="20"/>
          <w:szCs w:val="20"/>
          <w:shd w:val="clear" w:color="auto" w:fill="FFFFFF"/>
        </w:rPr>
      </w:pPr>
    </w:p>
    <w:tbl>
      <w:tblPr>
        <w:tblStyle w:val="Grilledutableau1"/>
        <w:tblW w:w="0" w:type="auto"/>
        <w:tblInd w:w="392" w:type="dxa"/>
        <w:tblLook w:val="04A0" w:firstRow="1" w:lastRow="0" w:firstColumn="1" w:lastColumn="0" w:noHBand="0" w:noVBand="1"/>
      </w:tblPr>
      <w:tblGrid>
        <w:gridCol w:w="2866"/>
        <w:gridCol w:w="3259"/>
        <w:gridCol w:w="3259"/>
      </w:tblGrid>
      <w:tr w:rsidR="000626F1" w:rsidRPr="000626F1" w14:paraId="264D6837" w14:textId="77777777" w:rsidTr="00F018C9">
        <w:trPr>
          <w:trHeight w:val="903"/>
        </w:trPr>
        <w:tc>
          <w:tcPr>
            <w:tcW w:w="9384" w:type="dxa"/>
            <w:gridSpan w:val="3"/>
            <w:vAlign w:val="center"/>
          </w:tcPr>
          <w:p w14:paraId="5DD20FE7" w14:textId="77777777" w:rsidR="000626F1" w:rsidRPr="000626F1" w:rsidRDefault="000626F1" w:rsidP="000626F1">
            <w:pPr>
              <w:widowControl w:val="0"/>
              <w:autoSpaceDE w:val="0"/>
              <w:autoSpaceDN w:val="0"/>
              <w:adjustRightInd w:val="0"/>
              <w:spacing w:before="100" w:beforeAutospacing="1" w:after="0" w:line="196" w:lineRule="exact"/>
              <w:ind w:left="284" w:firstLine="278"/>
              <w:jc w:val="center"/>
              <w:rPr>
                <w:rFonts w:ascii="Arial" w:eastAsia="Times New Roman" w:hAnsi="Arial" w:cs="Arial"/>
                <w:sz w:val="20"/>
                <w:szCs w:val="20"/>
              </w:rPr>
            </w:pPr>
          </w:p>
          <w:p w14:paraId="5EB90C53" w14:textId="77777777" w:rsidR="000626F1" w:rsidRPr="000626F1" w:rsidRDefault="000626F1" w:rsidP="000626F1">
            <w:pPr>
              <w:widowControl w:val="0"/>
              <w:autoSpaceDE w:val="0"/>
              <w:autoSpaceDN w:val="0"/>
              <w:adjustRightInd w:val="0"/>
              <w:spacing w:before="100" w:beforeAutospacing="1" w:after="0" w:line="196" w:lineRule="exact"/>
              <w:ind w:left="284" w:firstLine="278"/>
              <w:jc w:val="center"/>
              <w:rPr>
                <w:rFonts w:ascii="Arial" w:eastAsia="Times New Roman" w:hAnsi="Arial" w:cs="Arial"/>
                <w:sz w:val="20"/>
                <w:szCs w:val="20"/>
              </w:rPr>
            </w:pPr>
            <w:r w:rsidRPr="00F018C9">
              <w:rPr>
                <w:rFonts w:ascii="Arial" w:eastAsia="Times New Roman" w:hAnsi="Arial" w:cs="Arial"/>
                <w:b/>
                <w:bCs/>
                <w:sz w:val="20"/>
                <w:szCs w:val="20"/>
              </w:rPr>
              <w:t>Personnels militaires non classés dans la grille indiciaire de la fonction publique</w:t>
            </w:r>
            <w:r w:rsidRPr="000626F1">
              <w:rPr>
                <w:rFonts w:ascii="Arial" w:eastAsia="Times New Roman" w:hAnsi="Arial" w:cs="Arial"/>
                <w:sz w:val="20"/>
                <w:szCs w:val="20"/>
              </w:rPr>
              <w:t>.</w:t>
            </w:r>
          </w:p>
          <w:p w14:paraId="7C1AAC35" w14:textId="77777777" w:rsidR="000626F1" w:rsidRPr="000626F1" w:rsidRDefault="000626F1" w:rsidP="000626F1">
            <w:pPr>
              <w:spacing w:before="100" w:beforeAutospacing="1" w:after="0"/>
              <w:ind w:left="284"/>
              <w:jc w:val="center"/>
              <w:rPr>
                <w:rFonts w:ascii="Arial" w:hAnsi="Arial" w:cs="Arial"/>
                <w:i/>
                <w:iCs/>
                <w:sz w:val="20"/>
                <w:szCs w:val="20"/>
              </w:rPr>
            </w:pPr>
          </w:p>
        </w:tc>
      </w:tr>
      <w:tr w:rsidR="000626F1" w:rsidRPr="000626F1" w14:paraId="4B457D33" w14:textId="77777777" w:rsidTr="00F018C9">
        <w:trPr>
          <w:trHeight w:val="540"/>
        </w:trPr>
        <w:tc>
          <w:tcPr>
            <w:tcW w:w="2866" w:type="dxa"/>
            <w:vAlign w:val="center"/>
          </w:tcPr>
          <w:p w14:paraId="02A3BC4F" w14:textId="77777777" w:rsidR="000626F1" w:rsidRPr="00F018C9" w:rsidRDefault="000626F1" w:rsidP="000626F1">
            <w:pPr>
              <w:spacing w:before="100" w:beforeAutospacing="1" w:after="0"/>
              <w:ind w:left="284"/>
              <w:jc w:val="center"/>
              <w:rPr>
                <w:rFonts w:ascii="Arial" w:hAnsi="Arial" w:cs="Arial"/>
                <w:sz w:val="20"/>
                <w:szCs w:val="20"/>
              </w:rPr>
            </w:pPr>
            <w:r w:rsidRPr="00F018C9">
              <w:rPr>
                <w:rFonts w:ascii="Arial" w:hAnsi="Arial" w:cs="Arial"/>
                <w:sz w:val="20"/>
                <w:szCs w:val="20"/>
              </w:rPr>
              <w:t>Catégorie</w:t>
            </w:r>
          </w:p>
          <w:p w14:paraId="5E7BCA43" w14:textId="77777777" w:rsidR="000626F1" w:rsidRPr="00F018C9" w:rsidRDefault="000626F1" w:rsidP="000626F1">
            <w:pPr>
              <w:spacing w:before="100" w:beforeAutospacing="1" w:after="0"/>
              <w:ind w:left="284"/>
              <w:jc w:val="center"/>
              <w:rPr>
                <w:rFonts w:ascii="Arial" w:hAnsi="Arial" w:cs="Arial"/>
                <w:sz w:val="20"/>
                <w:szCs w:val="20"/>
              </w:rPr>
            </w:pPr>
          </w:p>
        </w:tc>
        <w:tc>
          <w:tcPr>
            <w:tcW w:w="3259" w:type="dxa"/>
            <w:vAlign w:val="center"/>
          </w:tcPr>
          <w:p w14:paraId="4E0B4296" w14:textId="77777777" w:rsidR="000626F1" w:rsidRPr="00F018C9" w:rsidRDefault="000626F1" w:rsidP="000626F1">
            <w:pPr>
              <w:spacing w:before="100" w:beforeAutospacing="1" w:after="0"/>
              <w:ind w:left="284"/>
              <w:jc w:val="center"/>
              <w:rPr>
                <w:rFonts w:ascii="Arial" w:hAnsi="Arial" w:cs="Arial"/>
                <w:sz w:val="20"/>
                <w:szCs w:val="20"/>
              </w:rPr>
            </w:pPr>
            <w:r w:rsidRPr="00F018C9">
              <w:rPr>
                <w:rFonts w:ascii="Arial" w:hAnsi="Arial" w:cs="Arial"/>
                <w:sz w:val="20"/>
                <w:szCs w:val="20"/>
              </w:rPr>
              <w:t>Grade</w:t>
            </w:r>
          </w:p>
          <w:p w14:paraId="21064198" w14:textId="77777777" w:rsidR="000626F1" w:rsidRPr="00F018C9" w:rsidRDefault="000626F1" w:rsidP="000626F1">
            <w:pPr>
              <w:spacing w:before="100" w:beforeAutospacing="1" w:after="0"/>
              <w:ind w:left="284"/>
              <w:jc w:val="center"/>
              <w:rPr>
                <w:rFonts w:ascii="Arial" w:hAnsi="Arial" w:cs="Arial"/>
                <w:sz w:val="20"/>
                <w:szCs w:val="20"/>
              </w:rPr>
            </w:pPr>
          </w:p>
        </w:tc>
        <w:tc>
          <w:tcPr>
            <w:tcW w:w="3259" w:type="dxa"/>
            <w:vAlign w:val="center"/>
          </w:tcPr>
          <w:p w14:paraId="080F3A8A" w14:textId="708D0E97" w:rsidR="000626F1" w:rsidRPr="00F018C9" w:rsidRDefault="000626F1" w:rsidP="000626F1">
            <w:pPr>
              <w:spacing w:before="100" w:beforeAutospacing="1" w:after="0"/>
              <w:ind w:left="284"/>
              <w:jc w:val="center"/>
              <w:rPr>
                <w:rFonts w:ascii="Arial" w:hAnsi="Arial" w:cs="Arial"/>
                <w:sz w:val="20"/>
                <w:szCs w:val="20"/>
              </w:rPr>
            </w:pPr>
            <w:r w:rsidRPr="00F018C9">
              <w:rPr>
                <w:rFonts w:ascii="Arial" w:hAnsi="Arial" w:cs="Arial"/>
                <w:sz w:val="20"/>
                <w:szCs w:val="20"/>
              </w:rPr>
              <w:t>Montant mensuel de la majoration à compter du 1er juillet 2000</w:t>
            </w:r>
          </w:p>
        </w:tc>
      </w:tr>
      <w:tr w:rsidR="000626F1" w:rsidRPr="000626F1" w14:paraId="70B80073" w14:textId="77777777" w:rsidTr="00F018C9">
        <w:trPr>
          <w:trHeight w:val="270"/>
        </w:trPr>
        <w:tc>
          <w:tcPr>
            <w:tcW w:w="2866" w:type="dxa"/>
            <w:vAlign w:val="center"/>
          </w:tcPr>
          <w:p w14:paraId="43E0E8CA" w14:textId="77777777" w:rsidR="000626F1" w:rsidRPr="000626F1" w:rsidRDefault="000626F1" w:rsidP="000626F1">
            <w:pPr>
              <w:spacing w:before="100" w:beforeAutospacing="1" w:after="0"/>
              <w:ind w:left="284"/>
              <w:jc w:val="center"/>
              <w:rPr>
                <w:rFonts w:ascii="Arial" w:hAnsi="Arial" w:cs="Arial"/>
                <w:sz w:val="20"/>
                <w:szCs w:val="20"/>
              </w:rPr>
            </w:pPr>
            <w:r w:rsidRPr="000626F1">
              <w:rPr>
                <w:rFonts w:ascii="Arial" w:hAnsi="Arial" w:cs="Arial"/>
                <w:sz w:val="20"/>
                <w:szCs w:val="20"/>
              </w:rPr>
              <w:t>Ouvrier 1ère unité</w:t>
            </w:r>
          </w:p>
        </w:tc>
        <w:tc>
          <w:tcPr>
            <w:tcW w:w="3259" w:type="dxa"/>
            <w:vAlign w:val="center"/>
          </w:tcPr>
          <w:p w14:paraId="264F705D" w14:textId="77777777" w:rsidR="000626F1" w:rsidRPr="00F018C9" w:rsidRDefault="000626F1" w:rsidP="00F018C9">
            <w:pPr>
              <w:pStyle w:val="Paragraphedeliste"/>
              <w:numPr>
                <w:ilvl w:val="0"/>
                <w:numId w:val="50"/>
              </w:numPr>
              <w:spacing w:before="100" w:beforeAutospacing="1" w:after="0"/>
              <w:rPr>
                <w:rFonts w:ascii="Arial" w:hAnsi="Arial" w:cs="Arial"/>
                <w:sz w:val="20"/>
                <w:szCs w:val="20"/>
              </w:rPr>
            </w:pPr>
            <w:r w:rsidRPr="00F018C9">
              <w:rPr>
                <w:rFonts w:ascii="Arial" w:hAnsi="Arial" w:cs="Arial"/>
                <w:sz w:val="20"/>
                <w:szCs w:val="20"/>
              </w:rPr>
              <w:t>soldat 1ère classe</w:t>
            </w:r>
          </w:p>
          <w:p w14:paraId="5096779A" w14:textId="77777777" w:rsidR="000626F1" w:rsidRPr="00F018C9" w:rsidRDefault="000626F1" w:rsidP="00F018C9">
            <w:pPr>
              <w:pStyle w:val="Paragraphedeliste"/>
              <w:numPr>
                <w:ilvl w:val="0"/>
                <w:numId w:val="50"/>
              </w:numPr>
              <w:spacing w:before="100" w:beforeAutospacing="1" w:after="0"/>
              <w:rPr>
                <w:rFonts w:ascii="Arial" w:hAnsi="Arial" w:cs="Arial"/>
                <w:sz w:val="20"/>
                <w:szCs w:val="20"/>
              </w:rPr>
            </w:pPr>
            <w:r w:rsidRPr="00F018C9">
              <w:rPr>
                <w:rFonts w:ascii="Arial" w:hAnsi="Arial" w:cs="Arial"/>
                <w:sz w:val="20"/>
                <w:szCs w:val="20"/>
              </w:rPr>
              <w:t>Soldat A D L</w:t>
            </w:r>
          </w:p>
        </w:tc>
        <w:tc>
          <w:tcPr>
            <w:tcW w:w="3259" w:type="dxa"/>
            <w:vAlign w:val="center"/>
          </w:tcPr>
          <w:p w14:paraId="3777244A" w14:textId="4726436F" w:rsidR="000626F1" w:rsidRPr="000626F1" w:rsidRDefault="000626F1" w:rsidP="000626F1">
            <w:pPr>
              <w:spacing w:before="100" w:beforeAutospacing="1" w:after="0"/>
              <w:ind w:left="284"/>
              <w:jc w:val="center"/>
              <w:rPr>
                <w:rFonts w:ascii="Arial" w:hAnsi="Arial" w:cs="Arial"/>
                <w:sz w:val="20"/>
                <w:szCs w:val="20"/>
              </w:rPr>
            </w:pPr>
            <w:r w:rsidRPr="000626F1">
              <w:rPr>
                <w:rFonts w:ascii="Arial" w:hAnsi="Arial" w:cs="Arial"/>
                <w:sz w:val="20"/>
                <w:szCs w:val="20"/>
              </w:rPr>
              <w:t>1</w:t>
            </w:r>
            <w:r>
              <w:rPr>
                <w:rFonts w:ascii="Arial" w:hAnsi="Arial" w:cs="Arial"/>
                <w:sz w:val="20"/>
                <w:szCs w:val="20"/>
              </w:rPr>
              <w:t>5</w:t>
            </w:r>
            <w:r w:rsidRPr="000626F1">
              <w:rPr>
                <w:rFonts w:ascii="Arial" w:hAnsi="Arial" w:cs="Arial"/>
                <w:sz w:val="20"/>
                <w:szCs w:val="20"/>
              </w:rPr>
              <w:t>.000 D</w:t>
            </w:r>
          </w:p>
        </w:tc>
      </w:tr>
    </w:tbl>
    <w:p w14:paraId="54926B16" w14:textId="72F10194"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b/>
          <w:bCs/>
          <w:color w:val="000000"/>
          <w:sz w:val="20"/>
          <w:szCs w:val="20"/>
          <w:shd w:val="clear" w:color="auto" w:fill="FFFFFF"/>
        </w:rPr>
        <w:t>Art. 2</w:t>
      </w:r>
      <w:r w:rsidRPr="008A7331">
        <w:rPr>
          <w:rStyle w:val="Accentuation"/>
          <w:rFonts w:ascii="Arial" w:hAnsi="Arial" w:cs="Arial"/>
          <w:i w:val="0"/>
          <w:iCs w:val="0"/>
          <w:color w:val="000000"/>
          <w:sz w:val="20"/>
          <w:szCs w:val="20"/>
          <w:shd w:val="clear" w:color="auto" w:fill="FFFFFF"/>
        </w:rPr>
        <w:t xml:space="preserve"> – L’indemnité prévue par le présent décret est exclusive de toute autre indemnité spécifique de même nature.</w:t>
      </w:r>
    </w:p>
    <w:p w14:paraId="10230BCE" w14:textId="22D670E5"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b/>
          <w:bCs/>
          <w:color w:val="000000"/>
          <w:sz w:val="20"/>
          <w:szCs w:val="20"/>
          <w:shd w:val="clear" w:color="auto" w:fill="FFFFFF"/>
        </w:rPr>
        <w:t>Art. 3</w:t>
      </w:r>
      <w:r w:rsidRPr="008A7331">
        <w:rPr>
          <w:rStyle w:val="Accentuation"/>
          <w:rFonts w:ascii="Arial" w:hAnsi="Arial" w:cs="Arial"/>
          <w:i w:val="0"/>
          <w:iCs w:val="0"/>
          <w:color w:val="000000"/>
          <w:sz w:val="20"/>
          <w:szCs w:val="20"/>
          <w:shd w:val="clear" w:color="auto" w:fill="FFFFFF"/>
        </w:rPr>
        <w:t xml:space="preserve"> – Les ministres de la défense nationale et des finances sont chargés, chacun en ce qui le concerne, de l’exécution du présent décret qui sera publié au Journal Officiel de la République Tunisienne.</w:t>
      </w:r>
    </w:p>
    <w:p w14:paraId="2B888506" w14:textId="54BA124E" w:rsidR="008A7331" w:rsidRPr="008A7331" w:rsidRDefault="008A7331" w:rsidP="006E6C88">
      <w:pPr>
        <w:spacing w:before="100" w:beforeAutospacing="1" w:after="0"/>
        <w:ind w:left="284"/>
        <w:jc w:val="both"/>
        <w:rPr>
          <w:rStyle w:val="Accentuation"/>
          <w:rFonts w:ascii="Arial" w:hAnsi="Arial" w:cs="Arial"/>
          <w:i w:val="0"/>
          <w:iCs w:val="0"/>
          <w:color w:val="000000"/>
          <w:sz w:val="20"/>
          <w:szCs w:val="20"/>
          <w:shd w:val="clear" w:color="auto" w:fill="FFFFFF"/>
        </w:rPr>
      </w:pPr>
      <w:r w:rsidRPr="008A7331">
        <w:rPr>
          <w:rStyle w:val="Accentuation"/>
          <w:rFonts w:ascii="Arial" w:hAnsi="Arial" w:cs="Arial"/>
          <w:b/>
          <w:bCs/>
          <w:i w:val="0"/>
          <w:iCs w:val="0"/>
          <w:color w:val="000000"/>
          <w:sz w:val="20"/>
          <w:szCs w:val="20"/>
          <w:shd w:val="clear" w:color="auto" w:fill="FFFFFF"/>
        </w:rPr>
        <w:t>Tunis, le 15 mai 2000</w:t>
      </w:r>
    </w:p>
    <w:p w14:paraId="19466DF2" w14:textId="285E5F6A" w:rsidR="00991A27" w:rsidRPr="008A7331" w:rsidRDefault="00991A27" w:rsidP="006E6C88">
      <w:pPr>
        <w:spacing w:before="100" w:beforeAutospacing="1" w:after="0"/>
        <w:ind w:left="284"/>
        <w:jc w:val="both"/>
        <w:rPr>
          <w:rFonts w:ascii="Arial" w:hAnsi="Arial" w:cs="Arial"/>
          <w:sz w:val="20"/>
          <w:szCs w:val="20"/>
        </w:rPr>
      </w:pPr>
    </w:p>
    <w:sectPr w:rsidR="00991A27" w:rsidRPr="008A7331"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FDC7A" w14:textId="77777777" w:rsidR="00122B47" w:rsidRDefault="00122B47" w:rsidP="008F3F2D">
      <w:r>
        <w:separator/>
      </w:r>
    </w:p>
  </w:endnote>
  <w:endnote w:type="continuationSeparator" w:id="0">
    <w:p w14:paraId="2B4629BA" w14:textId="77777777" w:rsidR="00122B47" w:rsidRDefault="00122B4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018C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018C9">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018C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018C9">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2B4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2B4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22B4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22B4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8CBF" w14:textId="77777777" w:rsidR="00122B47" w:rsidRDefault="00122B47" w:rsidP="008F3F2D">
      <w:r>
        <w:separator/>
      </w:r>
    </w:p>
  </w:footnote>
  <w:footnote w:type="continuationSeparator" w:id="0">
    <w:p w14:paraId="27447115" w14:textId="77777777" w:rsidR="00122B47" w:rsidRDefault="00122B4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AE3"/>
    <w:multiLevelType w:val="hybridMultilevel"/>
    <w:tmpl w:val="1A46587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622ADB"/>
    <w:multiLevelType w:val="hybridMultilevel"/>
    <w:tmpl w:val="5E1840E2"/>
    <w:lvl w:ilvl="0" w:tplc="6DA48D66">
      <w:start w:val="1"/>
      <w:numFmt w:val="bullet"/>
      <w:lvlText w:val=""/>
      <w:lvlJc w:val="left"/>
      <w:pPr>
        <w:ind w:left="1004" w:hanging="360"/>
      </w:pPr>
      <w:rPr>
        <w:rFonts w:ascii="Symbol" w:hAnsi="Symbol" w:hint="default"/>
      </w:rPr>
    </w:lvl>
    <w:lvl w:ilvl="1" w:tplc="759453D8">
      <w:start w:val="3"/>
      <w:numFmt w:val="bullet"/>
      <w:lvlText w:val="-"/>
      <w:lvlJc w:val="left"/>
      <w:pPr>
        <w:ind w:left="1724" w:hanging="360"/>
      </w:pPr>
      <w:rPr>
        <w:rFonts w:ascii="Arial" w:eastAsiaTheme="minorHAns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0E60C97"/>
    <w:multiLevelType w:val="hybridMultilevel"/>
    <w:tmpl w:val="11A2E5E6"/>
    <w:lvl w:ilvl="0" w:tplc="B7B8C06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13DF072D"/>
    <w:multiLevelType w:val="hybridMultilevel"/>
    <w:tmpl w:val="F714538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14F073F9"/>
    <w:multiLevelType w:val="hybridMultilevel"/>
    <w:tmpl w:val="4902552E"/>
    <w:lvl w:ilvl="0" w:tplc="1D1C2F0C">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16F27714"/>
    <w:multiLevelType w:val="hybridMultilevel"/>
    <w:tmpl w:val="F69434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90A5442"/>
    <w:multiLevelType w:val="hybridMultilevel"/>
    <w:tmpl w:val="7E26D468"/>
    <w:lvl w:ilvl="0" w:tplc="26AE29A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nsid w:val="1A862B7C"/>
    <w:multiLevelType w:val="hybridMultilevel"/>
    <w:tmpl w:val="C65425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AAD0894"/>
    <w:multiLevelType w:val="hybridMultilevel"/>
    <w:tmpl w:val="84F65FE6"/>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5961C4"/>
    <w:multiLevelType w:val="hybridMultilevel"/>
    <w:tmpl w:val="7E5E647C"/>
    <w:lvl w:ilvl="0" w:tplc="151E75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1DAB5FB8"/>
    <w:multiLevelType w:val="hybridMultilevel"/>
    <w:tmpl w:val="058AFFF0"/>
    <w:lvl w:ilvl="0" w:tplc="65DABEC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8C6D1B"/>
    <w:multiLevelType w:val="hybridMultilevel"/>
    <w:tmpl w:val="C5920A9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2F6A3AED"/>
    <w:multiLevelType w:val="hybridMultilevel"/>
    <w:tmpl w:val="A0A20B72"/>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2F812E2"/>
    <w:multiLevelType w:val="hybridMultilevel"/>
    <w:tmpl w:val="311A36B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nsid w:val="375743F5"/>
    <w:multiLevelType w:val="hybridMultilevel"/>
    <w:tmpl w:val="BBE860E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26366F"/>
    <w:multiLevelType w:val="hybridMultilevel"/>
    <w:tmpl w:val="D99274EA"/>
    <w:lvl w:ilvl="0" w:tplc="6DA48D66">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F926BCD"/>
    <w:multiLevelType w:val="hybridMultilevel"/>
    <w:tmpl w:val="C0E4644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503261ED"/>
    <w:multiLevelType w:val="hybridMultilevel"/>
    <w:tmpl w:val="3E7EC1DA"/>
    <w:lvl w:ilvl="0" w:tplc="6DA48D66">
      <w:start w:val="1"/>
      <w:numFmt w:val="bullet"/>
      <w:lvlText w:val=""/>
      <w:lvlJc w:val="left"/>
      <w:pPr>
        <w:ind w:left="1004" w:hanging="360"/>
      </w:pPr>
      <w:rPr>
        <w:rFonts w:ascii="Symbol" w:hAnsi="Symbol" w:hint="default"/>
      </w:rPr>
    </w:lvl>
    <w:lvl w:ilvl="1" w:tplc="040C000F">
      <w:start w:val="1"/>
      <w:numFmt w:val="decimal"/>
      <w:lvlText w:val="%2."/>
      <w:lvlJc w:val="left"/>
      <w:pPr>
        <w:ind w:left="1724" w:hanging="360"/>
      </w:pPr>
      <w:rPr>
        <w:rFont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61A6A23"/>
    <w:multiLevelType w:val="hybridMultilevel"/>
    <w:tmpl w:val="B0B6CD5A"/>
    <w:lvl w:ilvl="0" w:tplc="7CB002B8">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569C64C2"/>
    <w:multiLevelType w:val="hybridMultilevel"/>
    <w:tmpl w:val="6594734E"/>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nsid w:val="56AC3EE1"/>
    <w:multiLevelType w:val="hybridMultilevel"/>
    <w:tmpl w:val="2AEC0324"/>
    <w:lvl w:ilvl="0" w:tplc="81924C5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597A6E89"/>
    <w:multiLevelType w:val="hybridMultilevel"/>
    <w:tmpl w:val="B576F266"/>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861E8"/>
    <w:multiLevelType w:val="hybridMultilevel"/>
    <w:tmpl w:val="9E269BF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nsid w:val="5A2051CA"/>
    <w:multiLevelType w:val="hybridMultilevel"/>
    <w:tmpl w:val="D86AD19E"/>
    <w:lvl w:ilvl="0" w:tplc="040C000F">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5A2751FE"/>
    <w:multiLevelType w:val="hybridMultilevel"/>
    <w:tmpl w:val="A1864274"/>
    <w:lvl w:ilvl="0" w:tplc="1C7E649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nsid w:val="5F976BD3"/>
    <w:multiLevelType w:val="hybridMultilevel"/>
    <w:tmpl w:val="7E58687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08A6645"/>
    <w:multiLevelType w:val="hybridMultilevel"/>
    <w:tmpl w:val="4352F2C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nsid w:val="64C94D51"/>
    <w:multiLevelType w:val="hybridMultilevel"/>
    <w:tmpl w:val="DC0C66C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9">
    <w:nsid w:val="655B1166"/>
    <w:multiLevelType w:val="hybridMultilevel"/>
    <w:tmpl w:val="6A04A4D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266B89"/>
    <w:multiLevelType w:val="hybridMultilevel"/>
    <w:tmpl w:val="01D0D4D0"/>
    <w:lvl w:ilvl="0" w:tplc="B1AE0A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nsid w:val="708279D0"/>
    <w:multiLevelType w:val="hybridMultilevel"/>
    <w:tmpl w:val="FFF2A40C"/>
    <w:lvl w:ilvl="0" w:tplc="2B08523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5427F"/>
    <w:multiLevelType w:val="hybridMultilevel"/>
    <w:tmpl w:val="F29834B8"/>
    <w:lvl w:ilvl="0" w:tplc="4BFA27B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nsid w:val="7AA55027"/>
    <w:multiLevelType w:val="hybridMultilevel"/>
    <w:tmpl w:val="5010F08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7">
    <w:nsid w:val="7C1E6279"/>
    <w:multiLevelType w:val="hybridMultilevel"/>
    <w:tmpl w:val="EB04AE9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nsid w:val="7CAA5BD5"/>
    <w:multiLevelType w:val="hybridMultilevel"/>
    <w:tmpl w:val="FC7A6530"/>
    <w:lvl w:ilvl="0" w:tplc="9C52813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7"/>
  </w:num>
  <w:num w:numId="3">
    <w:abstractNumId w:val="43"/>
  </w:num>
  <w:num w:numId="4">
    <w:abstractNumId w:val="18"/>
  </w:num>
  <w:num w:numId="5">
    <w:abstractNumId w:val="40"/>
  </w:num>
  <w:num w:numId="6">
    <w:abstractNumId w:val="49"/>
  </w:num>
  <w:num w:numId="7">
    <w:abstractNumId w:val="26"/>
  </w:num>
  <w:num w:numId="8">
    <w:abstractNumId w:val="3"/>
  </w:num>
  <w:num w:numId="9">
    <w:abstractNumId w:val="25"/>
  </w:num>
  <w:num w:numId="10">
    <w:abstractNumId w:val="15"/>
  </w:num>
  <w:num w:numId="11">
    <w:abstractNumId w:val="14"/>
  </w:num>
  <w:num w:numId="12">
    <w:abstractNumId w:val="2"/>
  </w:num>
  <w:num w:numId="13">
    <w:abstractNumId w:val="16"/>
  </w:num>
  <w:num w:numId="14">
    <w:abstractNumId w:val="44"/>
  </w:num>
  <w:num w:numId="15">
    <w:abstractNumId w:val="23"/>
  </w:num>
  <w:num w:numId="16">
    <w:abstractNumId w:val="6"/>
  </w:num>
  <w:num w:numId="17">
    <w:abstractNumId w:val="11"/>
  </w:num>
  <w:num w:numId="18">
    <w:abstractNumId w:val="46"/>
  </w:num>
  <w:num w:numId="19">
    <w:abstractNumId w:val="31"/>
  </w:num>
  <w:num w:numId="20">
    <w:abstractNumId w:val="10"/>
  </w:num>
  <w:num w:numId="21">
    <w:abstractNumId w:val="7"/>
  </w:num>
  <w:num w:numId="22">
    <w:abstractNumId w:val="37"/>
  </w:num>
  <w:num w:numId="23">
    <w:abstractNumId w:val="13"/>
  </w:num>
  <w:num w:numId="24">
    <w:abstractNumId w:val="8"/>
  </w:num>
  <w:num w:numId="25">
    <w:abstractNumId w:val="5"/>
  </w:num>
  <w:num w:numId="26">
    <w:abstractNumId w:val="38"/>
  </w:num>
  <w:num w:numId="27">
    <w:abstractNumId w:val="9"/>
  </w:num>
  <w:num w:numId="28">
    <w:abstractNumId w:val="22"/>
  </w:num>
  <w:num w:numId="29">
    <w:abstractNumId w:val="41"/>
  </w:num>
  <w:num w:numId="30">
    <w:abstractNumId w:val="33"/>
  </w:num>
  <w:num w:numId="31">
    <w:abstractNumId w:val="12"/>
  </w:num>
  <w:num w:numId="32">
    <w:abstractNumId w:val="39"/>
  </w:num>
  <w:num w:numId="33">
    <w:abstractNumId w:val="45"/>
  </w:num>
  <w:num w:numId="34">
    <w:abstractNumId w:val="34"/>
  </w:num>
  <w:num w:numId="35">
    <w:abstractNumId w:val="21"/>
  </w:num>
  <w:num w:numId="36">
    <w:abstractNumId w:val="48"/>
  </w:num>
  <w:num w:numId="37">
    <w:abstractNumId w:val="36"/>
  </w:num>
  <w:num w:numId="38">
    <w:abstractNumId w:val="42"/>
  </w:num>
  <w:num w:numId="39">
    <w:abstractNumId w:val="4"/>
  </w:num>
  <w:num w:numId="40">
    <w:abstractNumId w:val="29"/>
  </w:num>
  <w:num w:numId="41">
    <w:abstractNumId w:val="47"/>
  </w:num>
  <w:num w:numId="42">
    <w:abstractNumId w:val="35"/>
  </w:num>
  <w:num w:numId="43">
    <w:abstractNumId w:val="19"/>
  </w:num>
  <w:num w:numId="44">
    <w:abstractNumId w:val="28"/>
  </w:num>
  <w:num w:numId="45">
    <w:abstractNumId w:val="30"/>
  </w:num>
  <w:num w:numId="46">
    <w:abstractNumId w:val="24"/>
  </w:num>
  <w:num w:numId="47">
    <w:abstractNumId w:val="20"/>
  </w:num>
  <w:num w:numId="48">
    <w:abstractNumId w:val="27"/>
  </w:num>
  <w:num w:numId="49">
    <w:abstractNumId w:val="3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0E38"/>
    <w:rsid w:val="00061148"/>
    <w:rsid w:val="000626F1"/>
    <w:rsid w:val="000B0D20"/>
    <w:rsid w:val="000D0DE1"/>
    <w:rsid w:val="00122B47"/>
    <w:rsid w:val="001E5DD5"/>
    <w:rsid w:val="0020398F"/>
    <w:rsid w:val="00271C96"/>
    <w:rsid w:val="002B19EE"/>
    <w:rsid w:val="002E41D2"/>
    <w:rsid w:val="0030393B"/>
    <w:rsid w:val="00354137"/>
    <w:rsid w:val="00364345"/>
    <w:rsid w:val="00380208"/>
    <w:rsid w:val="003B6CD4"/>
    <w:rsid w:val="003E004B"/>
    <w:rsid w:val="00400FF9"/>
    <w:rsid w:val="004D4515"/>
    <w:rsid w:val="005E1E96"/>
    <w:rsid w:val="005F7BF4"/>
    <w:rsid w:val="006519E0"/>
    <w:rsid w:val="00684129"/>
    <w:rsid w:val="00684648"/>
    <w:rsid w:val="006E6C88"/>
    <w:rsid w:val="00724237"/>
    <w:rsid w:val="007244D3"/>
    <w:rsid w:val="00730FFC"/>
    <w:rsid w:val="007328B3"/>
    <w:rsid w:val="0075404E"/>
    <w:rsid w:val="0089552E"/>
    <w:rsid w:val="008A7331"/>
    <w:rsid w:val="008F3F2D"/>
    <w:rsid w:val="0095229D"/>
    <w:rsid w:val="00957F0E"/>
    <w:rsid w:val="0097472C"/>
    <w:rsid w:val="00991A27"/>
    <w:rsid w:val="009C0522"/>
    <w:rsid w:val="00A00644"/>
    <w:rsid w:val="00A04F09"/>
    <w:rsid w:val="00A24F23"/>
    <w:rsid w:val="00A90F21"/>
    <w:rsid w:val="00AD2268"/>
    <w:rsid w:val="00AF77CD"/>
    <w:rsid w:val="00B05438"/>
    <w:rsid w:val="00B512FC"/>
    <w:rsid w:val="00B617F1"/>
    <w:rsid w:val="00BF1847"/>
    <w:rsid w:val="00C1635D"/>
    <w:rsid w:val="00C61238"/>
    <w:rsid w:val="00C64B86"/>
    <w:rsid w:val="00CA753E"/>
    <w:rsid w:val="00CB11FB"/>
    <w:rsid w:val="00CC4ADF"/>
    <w:rsid w:val="00D07749"/>
    <w:rsid w:val="00D11988"/>
    <w:rsid w:val="00D45BC8"/>
    <w:rsid w:val="00D63E8F"/>
    <w:rsid w:val="00DE32AA"/>
    <w:rsid w:val="00E01B1A"/>
    <w:rsid w:val="00E10A35"/>
    <w:rsid w:val="00E946E6"/>
    <w:rsid w:val="00E953A2"/>
    <w:rsid w:val="00F018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 w:type="table" w:customStyle="1" w:styleId="Grilledutableau1">
    <w:name w:val="Grille du tableau1"/>
    <w:basedOn w:val="TableauNormal"/>
    <w:next w:val="Grilledutableau"/>
    <w:uiPriority w:val="59"/>
    <w:rsid w:val="000626F1"/>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CB11FB"/>
    <w:rPr>
      <w:b/>
      <w:bCs/>
    </w:rPr>
  </w:style>
  <w:style w:type="paragraph" w:customStyle="1" w:styleId="Style">
    <w:name w:val="Style"/>
    <w:rsid w:val="00730FFC"/>
    <w:pPr>
      <w:widowControl w:val="0"/>
      <w:autoSpaceDE w:val="0"/>
      <w:autoSpaceDN w:val="0"/>
      <w:adjustRightInd w:val="0"/>
    </w:pPr>
    <w:rPr>
      <w:rFonts w:ascii="Times New Roman" w:hAnsi="Times New Roman" w:cs="Times New Roman"/>
      <w:lang w:val="fr-FR" w:eastAsia="fr-FR"/>
    </w:rPr>
  </w:style>
  <w:style w:type="character" w:styleId="Accentuation">
    <w:name w:val="Emphasis"/>
    <w:basedOn w:val="Policepardfaut"/>
    <w:uiPriority w:val="20"/>
    <w:qFormat/>
    <w:rsid w:val="00030E38"/>
    <w:rPr>
      <w:i/>
      <w:iCs/>
    </w:rPr>
  </w:style>
  <w:style w:type="character" w:customStyle="1" w:styleId="apple-converted-space">
    <w:name w:val="apple-converted-space"/>
    <w:basedOn w:val="Policepardfaut"/>
    <w:rsid w:val="00030E38"/>
  </w:style>
  <w:style w:type="table" w:customStyle="1" w:styleId="Grilledutableau1">
    <w:name w:val="Grille du tableau1"/>
    <w:basedOn w:val="TableauNormal"/>
    <w:next w:val="Grilledutableau"/>
    <w:uiPriority w:val="59"/>
    <w:rsid w:val="000626F1"/>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3812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Melki Alia</cp:lastModifiedBy>
  <cp:revision>2</cp:revision>
  <cp:lastPrinted>2012-05-12T20:43:00Z</cp:lastPrinted>
  <dcterms:created xsi:type="dcterms:W3CDTF">2014-01-20T16:05:00Z</dcterms:created>
  <dcterms:modified xsi:type="dcterms:W3CDTF">2014-01-20T16:05:00Z</dcterms:modified>
</cp:coreProperties>
</file>