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1C0B7" w14:textId="0377B5BC" w:rsidR="00D07FE9" w:rsidRDefault="00D07FE9" w:rsidP="00D07FE9">
      <w:pPr>
        <w:spacing w:before="120" w:after="0"/>
        <w:ind w:left="283"/>
        <w:jc w:val="both"/>
        <w:rPr>
          <w:rFonts w:ascii="Arial" w:hAnsi="Arial" w:cs="Arial"/>
          <w:b/>
          <w:bCs/>
          <w:sz w:val="24"/>
          <w:szCs w:val="24"/>
        </w:rPr>
      </w:pPr>
      <w:r w:rsidRPr="00D07FE9">
        <w:rPr>
          <w:rFonts w:ascii="Arial" w:hAnsi="Arial" w:cs="Arial"/>
          <w:b/>
          <w:bCs/>
          <w:sz w:val="24"/>
          <w:szCs w:val="24"/>
        </w:rPr>
        <w:t>Décret gouvernemental n° 2020-52 du 23 janvier 2020, portant approbation du modèle de la nomenclature budgétaire des communes</w:t>
      </w:r>
    </w:p>
    <w:p w14:paraId="22839B3B" w14:textId="77777777" w:rsidR="00D07FE9" w:rsidRPr="00D07FE9" w:rsidRDefault="00D07FE9" w:rsidP="00D07FE9">
      <w:pPr>
        <w:spacing w:after="0"/>
        <w:ind w:left="283"/>
        <w:jc w:val="both"/>
        <w:rPr>
          <w:rFonts w:ascii="Arial" w:hAnsi="Arial" w:cs="Arial"/>
          <w:b/>
          <w:bCs/>
          <w:sz w:val="24"/>
          <w:szCs w:val="24"/>
        </w:rPr>
      </w:pPr>
    </w:p>
    <w:p w14:paraId="3B2AF576"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Le chef du gouvernement,</w:t>
      </w:r>
    </w:p>
    <w:p w14:paraId="7A17868E"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Sur proposition du ministre des affaires locales et de l'environnement,</w:t>
      </w:r>
    </w:p>
    <w:p w14:paraId="7391FBDB"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Vu la constitution,</w:t>
      </w:r>
    </w:p>
    <w:p w14:paraId="4277ED94"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Vu la loi organique n° 2018-29 du 9 mai 2018, relative au code des collectivités locales notamment ses articles 155, 159, 167 et 383,</w:t>
      </w:r>
    </w:p>
    <w:p w14:paraId="0DE22BB3"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Vu la loi organique n° 2019-15 du 13 février 2019, relative à la loi organique du budget,</w:t>
      </w:r>
    </w:p>
    <w:p w14:paraId="38B318D7"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Vu le code de la comptabilité publique promulgué par la loi n° 73-81 du 31 décembre 1973, ainsi que les textes qui l'ont modifié et complété et notamment la loi n° 2018-56 du 27 décembre 2018, portant loi de finances pour l'année 2019,</w:t>
      </w:r>
    </w:p>
    <w:p w14:paraId="49CCCD64"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Vu le code de la fiscalité locale promulgué par la loi n° 97-11 du 3 février 1997, ainsi les textes qui l'ont modifié et complété et notamment la loi n° 2013-54 du 30 décembre 2013, portant loi de finances pour l'année 2014,</w:t>
      </w:r>
    </w:p>
    <w:p w14:paraId="50F054A3"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Vu le décret Présidentiel n° 2016-107 du 27 août 2016, portant nomination du chef du gouvernement et de ses membres,</w:t>
      </w:r>
    </w:p>
    <w:p w14:paraId="2EEBCCDA"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Vu le décret Présidentiel n° 2017-43 du 17 mars 2017, portant nomination de deux membres du gouvernement,</w:t>
      </w:r>
    </w:p>
    <w:p w14:paraId="271EA6A8"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Vu le décret Présidentiel n° 2017-124 du 12 septembre 2017, portant nomination de membres du gouvernement,</w:t>
      </w:r>
    </w:p>
    <w:p w14:paraId="5DEC3E3E"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Vu le décret Présidentiel n° 2017-247 du 25 novembre 2017 portant nomination de membres du gouvernement,</w:t>
      </w:r>
    </w:p>
    <w:p w14:paraId="4B1CA7BD" w14:textId="1A4DDD3C"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Vu le décret Présidentiel n° 2018-69 du 30 juillet 2018 portant nomination d’un membre du gouvernement,</w:t>
      </w:r>
    </w:p>
    <w:p w14:paraId="255BE7FC"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Vu le décret Présidentiel n° 2018-125 du 14 novembre 2018 portant nomination de membres du gouvernement,</w:t>
      </w:r>
    </w:p>
    <w:p w14:paraId="51DF7EB8"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Vu l'avis du Tribunal administratif.</w:t>
      </w:r>
    </w:p>
    <w:p w14:paraId="060D4053" w14:textId="2F7CE077" w:rsidR="00D07FE9" w:rsidRPr="00D07FE9" w:rsidRDefault="00D07FE9" w:rsidP="00D07FE9">
      <w:pPr>
        <w:spacing w:before="120" w:after="0"/>
        <w:ind w:left="283"/>
        <w:jc w:val="both"/>
        <w:rPr>
          <w:rFonts w:ascii="Arial" w:hAnsi="Arial" w:cs="Arial"/>
          <w:sz w:val="20"/>
          <w:szCs w:val="20"/>
        </w:rPr>
      </w:pPr>
      <w:r w:rsidRPr="00D07FE9">
        <w:rPr>
          <w:rFonts w:ascii="Arial" w:hAnsi="Arial" w:cs="Arial"/>
          <w:sz w:val="20"/>
          <w:szCs w:val="20"/>
        </w:rPr>
        <w:t>Prend le décret gouvernemental dont la teneur suit :</w:t>
      </w:r>
    </w:p>
    <w:p w14:paraId="45695DB5" w14:textId="6D30311D" w:rsidR="00D07FE9" w:rsidRPr="00D07FE9" w:rsidRDefault="00D07FE9" w:rsidP="00D07FE9">
      <w:pPr>
        <w:spacing w:before="120" w:after="0"/>
        <w:ind w:left="283"/>
        <w:jc w:val="both"/>
        <w:rPr>
          <w:rFonts w:ascii="Arial" w:hAnsi="Arial" w:cs="Arial"/>
          <w:sz w:val="20"/>
          <w:szCs w:val="20"/>
        </w:rPr>
      </w:pPr>
      <w:r w:rsidRPr="00D07FE9">
        <w:rPr>
          <w:rFonts w:ascii="Arial" w:hAnsi="Arial" w:cs="Arial"/>
          <w:b/>
          <w:bCs/>
          <w:i/>
          <w:iCs/>
          <w:sz w:val="20"/>
          <w:szCs w:val="20"/>
        </w:rPr>
        <w:t>Article premier -</w:t>
      </w:r>
      <w:r w:rsidRPr="00D07FE9">
        <w:rPr>
          <w:rFonts w:ascii="Arial" w:hAnsi="Arial" w:cs="Arial"/>
          <w:sz w:val="20"/>
          <w:szCs w:val="20"/>
        </w:rPr>
        <w:t xml:space="preserve"> Est approuvé </w:t>
      </w:r>
      <w:r w:rsidRPr="00A85BB5">
        <w:rPr>
          <w:rFonts w:ascii="Arial" w:hAnsi="Arial" w:cs="Arial"/>
          <w:sz w:val="20"/>
          <w:szCs w:val="20"/>
        </w:rPr>
        <w:t>le modèle annexé</w:t>
      </w:r>
      <w:r w:rsidR="00A85BB5">
        <w:rPr>
          <w:rStyle w:val="Appelnotedebasdep"/>
          <w:rFonts w:ascii="Arial" w:hAnsi="Arial" w:cs="Arial"/>
          <w:sz w:val="20"/>
          <w:szCs w:val="20"/>
        </w:rPr>
        <w:footnoteReference w:id="1"/>
      </w:r>
      <w:r w:rsidRPr="00D07FE9">
        <w:rPr>
          <w:rFonts w:ascii="Arial" w:hAnsi="Arial" w:cs="Arial"/>
          <w:sz w:val="20"/>
          <w:szCs w:val="20"/>
        </w:rPr>
        <w:t xml:space="preserve"> au présent décret gouvernemental relatif à la nomenclature budgétaire des communes</w:t>
      </w:r>
      <w:r>
        <w:rPr>
          <w:rFonts w:ascii="Arial" w:hAnsi="Arial" w:cs="Arial"/>
          <w:sz w:val="20"/>
          <w:szCs w:val="20"/>
        </w:rPr>
        <w:t>.</w:t>
      </w:r>
    </w:p>
    <w:p w14:paraId="763CD360" w14:textId="77777777" w:rsidR="00D07FE9" w:rsidRPr="00D07FE9" w:rsidRDefault="00D07FE9" w:rsidP="00D07FE9">
      <w:pPr>
        <w:spacing w:before="120" w:after="0"/>
        <w:ind w:left="283"/>
        <w:jc w:val="both"/>
        <w:rPr>
          <w:rFonts w:ascii="Arial" w:hAnsi="Arial" w:cs="Arial"/>
          <w:sz w:val="20"/>
          <w:szCs w:val="20"/>
        </w:rPr>
      </w:pPr>
      <w:r w:rsidRPr="00D07FE9">
        <w:rPr>
          <w:rFonts w:ascii="Arial" w:hAnsi="Arial" w:cs="Arial"/>
          <w:b/>
          <w:bCs/>
          <w:i/>
          <w:iCs/>
          <w:sz w:val="20"/>
          <w:szCs w:val="20"/>
        </w:rPr>
        <w:t>Art. 2 -</w:t>
      </w:r>
      <w:r w:rsidRPr="00D07FE9">
        <w:rPr>
          <w:rFonts w:ascii="Arial" w:hAnsi="Arial" w:cs="Arial"/>
          <w:sz w:val="20"/>
          <w:szCs w:val="20"/>
        </w:rPr>
        <w:t xml:space="preserve"> Le ministre des finances, le ministre des affaires locales et de l'environnement et les présidents des communes sont chargés, chacun en ce qui le concerne, de l'exécution du présent décret gouvernemental qui sera publié au Journal Officiel de la République Tunisienne.</w:t>
      </w:r>
    </w:p>
    <w:p w14:paraId="7B819F8E" w14:textId="37839AA9" w:rsidR="00D816BB" w:rsidRDefault="00D07FE9" w:rsidP="00D07FE9">
      <w:pPr>
        <w:spacing w:before="120" w:after="0"/>
        <w:ind w:left="283"/>
        <w:jc w:val="both"/>
        <w:rPr>
          <w:rFonts w:ascii="Arial" w:hAnsi="Arial" w:cs="Arial"/>
          <w:b/>
          <w:bCs/>
          <w:sz w:val="20"/>
          <w:szCs w:val="20"/>
        </w:rPr>
      </w:pPr>
      <w:r w:rsidRPr="00D07FE9">
        <w:rPr>
          <w:rFonts w:ascii="Arial" w:hAnsi="Arial" w:cs="Arial"/>
          <w:b/>
          <w:bCs/>
          <w:sz w:val="20"/>
          <w:szCs w:val="20"/>
        </w:rPr>
        <w:t>Tunis, le 23 janvier 2020.</w:t>
      </w:r>
    </w:p>
    <w:p w14:paraId="4ED11CD6" w14:textId="474C169B" w:rsidR="00A85BB5" w:rsidRDefault="00A85BB5" w:rsidP="00D07FE9">
      <w:pPr>
        <w:spacing w:before="120" w:after="0"/>
        <w:ind w:left="283"/>
        <w:jc w:val="both"/>
        <w:rPr>
          <w:rFonts w:ascii="Arial" w:hAnsi="Arial" w:cs="Arial"/>
          <w:b/>
          <w:bCs/>
          <w:sz w:val="20"/>
          <w:szCs w:val="20"/>
        </w:rPr>
      </w:pPr>
    </w:p>
    <w:p w14:paraId="4D0C227B" w14:textId="6593B148" w:rsidR="00A85BB5" w:rsidRDefault="00A85BB5" w:rsidP="00D07FE9">
      <w:pPr>
        <w:spacing w:before="120" w:after="0"/>
        <w:ind w:left="283"/>
        <w:jc w:val="both"/>
        <w:rPr>
          <w:rFonts w:ascii="Arial" w:hAnsi="Arial" w:cs="Arial"/>
          <w:b/>
          <w:bCs/>
          <w:sz w:val="20"/>
          <w:szCs w:val="20"/>
        </w:rPr>
      </w:pPr>
    </w:p>
    <w:p w14:paraId="241270C5" w14:textId="4DE64B6B" w:rsidR="00A85BB5" w:rsidRDefault="00A85BB5" w:rsidP="00A85BB5">
      <w:pPr>
        <w:tabs>
          <w:tab w:val="left" w:pos="1770"/>
        </w:tabs>
        <w:spacing w:before="120" w:after="0"/>
        <w:jc w:val="both"/>
        <w:rPr>
          <w:rFonts w:ascii="Arial" w:hAnsi="Arial" w:cs="Arial"/>
          <w:b/>
          <w:bCs/>
          <w:sz w:val="20"/>
          <w:szCs w:val="20"/>
        </w:rPr>
      </w:pPr>
    </w:p>
    <w:p w14:paraId="4185D44F" w14:textId="77777777" w:rsidR="00A85BB5" w:rsidRDefault="00A85BB5" w:rsidP="00D07FE9">
      <w:pPr>
        <w:spacing w:before="120" w:after="0"/>
        <w:ind w:left="283"/>
        <w:jc w:val="both"/>
        <w:rPr>
          <w:rFonts w:ascii="Arial" w:hAnsi="Arial" w:cs="Arial"/>
          <w:b/>
          <w:bCs/>
          <w:sz w:val="20"/>
          <w:szCs w:val="20"/>
        </w:rPr>
      </w:pPr>
    </w:p>
    <w:p w14:paraId="6BA3D8EC" w14:textId="77777777" w:rsidR="00A85BB5" w:rsidRDefault="00A85BB5" w:rsidP="00A85BB5">
      <w:pPr>
        <w:spacing w:before="120" w:after="0" w:line="240" w:lineRule="auto"/>
        <w:ind w:left="284"/>
        <w:jc w:val="center"/>
        <w:rPr>
          <w:rFonts w:ascii="Arial" w:hAnsi="Arial" w:cs="Arial"/>
          <w:b/>
          <w:bCs/>
          <w:sz w:val="20"/>
          <w:szCs w:val="20"/>
        </w:rPr>
      </w:pPr>
      <w:r w:rsidRPr="00C25185">
        <w:rPr>
          <w:rFonts w:ascii="Arial" w:hAnsi="Arial" w:cs="Arial"/>
          <w:b/>
          <w:bCs/>
          <w:sz w:val="20"/>
          <w:szCs w:val="20"/>
        </w:rPr>
        <w:t>Tableau modifiant le modèle de la nomenclature budgétaire des communes</w:t>
      </w:r>
    </w:p>
    <w:tbl>
      <w:tblPr>
        <w:tblStyle w:val="Grilledutableau"/>
        <w:tblW w:w="10348" w:type="dxa"/>
        <w:tblInd w:w="-5" w:type="dxa"/>
        <w:tblLook w:val="04A0" w:firstRow="1" w:lastRow="0" w:firstColumn="1" w:lastColumn="0" w:noHBand="0" w:noVBand="1"/>
      </w:tblPr>
      <w:tblGrid>
        <w:gridCol w:w="1037"/>
        <w:gridCol w:w="930"/>
        <w:gridCol w:w="976"/>
        <w:gridCol w:w="959"/>
        <w:gridCol w:w="897"/>
        <w:gridCol w:w="1317"/>
        <w:gridCol w:w="1306"/>
        <w:gridCol w:w="2926"/>
      </w:tblGrid>
      <w:tr w:rsidR="00A85BB5" w14:paraId="49DB7EE3" w14:textId="77777777" w:rsidTr="00403638">
        <w:tc>
          <w:tcPr>
            <w:tcW w:w="10348" w:type="dxa"/>
            <w:gridSpan w:val="8"/>
          </w:tcPr>
          <w:p w14:paraId="07C5C9CD" w14:textId="77777777" w:rsidR="00A85BB5" w:rsidRDefault="00A85BB5" w:rsidP="00403638">
            <w:pPr>
              <w:spacing w:before="120" w:after="0" w:line="240" w:lineRule="auto"/>
              <w:jc w:val="center"/>
              <w:rPr>
                <w:rFonts w:ascii="Arial" w:hAnsi="Arial" w:cs="Arial"/>
                <w:b/>
                <w:bCs/>
                <w:sz w:val="20"/>
                <w:szCs w:val="20"/>
              </w:rPr>
            </w:pPr>
            <w:r>
              <w:rPr>
                <w:rFonts w:ascii="Arial" w:hAnsi="Arial" w:cs="Arial"/>
                <w:b/>
                <w:bCs/>
                <w:sz w:val="20"/>
                <w:szCs w:val="20"/>
              </w:rPr>
              <w:t>Ancienne nomenclature</w:t>
            </w:r>
          </w:p>
        </w:tc>
      </w:tr>
      <w:tr w:rsidR="00A85BB5" w14:paraId="41CB4375" w14:textId="77777777" w:rsidTr="00403638">
        <w:tc>
          <w:tcPr>
            <w:tcW w:w="1037" w:type="dxa"/>
          </w:tcPr>
          <w:p w14:paraId="049F93E6"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Titre </w:t>
            </w:r>
          </w:p>
        </w:tc>
        <w:tc>
          <w:tcPr>
            <w:tcW w:w="930" w:type="dxa"/>
          </w:tcPr>
          <w:p w14:paraId="78F99254"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Partie </w:t>
            </w:r>
          </w:p>
        </w:tc>
        <w:tc>
          <w:tcPr>
            <w:tcW w:w="976" w:type="dxa"/>
          </w:tcPr>
          <w:p w14:paraId="196F8E10"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Section </w:t>
            </w:r>
          </w:p>
        </w:tc>
        <w:tc>
          <w:tcPr>
            <w:tcW w:w="959" w:type="dxa"/>
          </w:tcPr>
          <w:p w14:paraId="67A9C4DE"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s. section </w:t>
            </w:r>
          </w:p>
        </w:tc>
        <w:tc>
          <w:tcPr>
            <w:tcW w:w="897" w:type="dxa"/>
          </w:tcPr>
          <w:p w14:paraId="76F2564E"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Article </w:t>
            </w:r>
          </w:p>
        </w:tc>
        <w:tc>
          <w:tcPr>
            <w:tcW w:w="1317" w:type="dxa"/>
          </w:tcPr>
          <w:p w14:paraId="49E5F07C"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Paragraphe </w:t>
            </w:r>
          </w:p>
        </w:tc>
        <w:tc>
          <w:tcPr>
            <w:tcW w:w="1306" w:type="dxa"/>
          </w:tcPr>
          <w:p w14:paraId="1547B285"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s. paragraphe </w:t>
            </w:r>
          </w:p>
        </w:tc>
        <w:tc>
          <w:tcPr>
            <w:tcW w:w="2926" w:type="dxa"/>
          </w:tcPr>
          <w:p w14:paraId="7A985A40"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Libellé des dépenses </w:t>
            </w:r>
          </w:p>
        </w:tc>
      </w:tr>
      <w:tr w:rsidR="00A85BB5" w14:paraId="78A71214" w14:textId="77777777" w:rsidTr="00403638">
        <w:tc>
          <w:tcPr>
            <w:tcW w:w="1037" w:type="dxa"/>
          </w:tcPr>
          <w:p w14:paraId="2DE7C33C" w14:textId="77777777" w:rsidR="00A85BB5" w:rsidRDefault="00A85BB5" w:rsidP="00403638">
            <w:pPr>
              <w:spacing w:before="120" w:after="0" w:line="240" w:lineRule="auto"/>
              <w:jc w:val="both"/>
              <w:rPr>
                <w:rFonts w:ascii="Arial" w:hAnsi="Arial" w:cs="Arial"/>
                <w:b/>
                <w:bCs/>
                <w:sz w:val="20"/>
                <w:szCs w:val="20"/>
              </w:rPr>
            </w:pPr>
            <w:r>
              <w:rPr>
                <w:rFonts w:ascii="Arial" w:hAnsi="Arial" w:cs="Arial"/>
                <w:b/>
                <w:bCs/>
                <w:sz w:val="20"/>
                <w:szCs w:val="20"/>
              </w:rPr>
              <w:t>2</w:t>
            </w:r>
          </w:p>
        </w:tc>
        <w:tc>
          <w:tcPr>
            <w:tcW w:w="930" w:type="dxa"/>
          </w:tcPr>
          <w:p w14:paraId="2F39A592" w14:textId="77777777" w:rsidR="00A85BB5" w:rsidRDefault="00A85BB5" w:rsidP="00403638">
            <w:pPr>
              <w:spacing w:before="120" w:after="0" w:line="240" w:lineRule="auto"/>
              <w:jc w:val="both"/>
              <w:rPr>
                <w:rFonts w:ascii="Arial" w:hAnsi="Arial" w:cs="Arial"/>
                <w:b/>
                <w:bCs/>
                <w:sz w:val="20"/>
                <w:szCs w:val="20"/>
              </w:rPr>
            </w:pPr>
            <w:r>
              <w:rPr>
                <w:rFonts w:ascii="Arial" w:hAnsi="Arial" w:cs="Arial"/>
                <w:b/>
                <w:bCs/>
                <w:sz w:val="20"/>
                <w:szCs w:val="20"/>
              </w:rPr>
              <w:t>4</w:t>
            </w:r>
          </w:p>
        </w:tc>
        <w:tc>
          <w:tcPr>
            <w:tcW w:w="976" w:type="dxa"/>
          </w:tcPr>
          <w:p w14:paraId="5191A489" w14:textId="77777777" w:rsidR="00A85BB5" w:rsidRDefault="00A85BB5" w:rsidP="00403638">
            <w:pPr>
              <w:spacing w:before="120" w:after="0" w:line="240" w:lineRule="auto"/>
              <w:jc w:val="both"/>
              <w:rPr>
                <w:rFonts w:ascii="Arial" w:hAnsi="Arial" w:cs="Arial"/>
                <w:b/>
                <w:bCs/>
                <w:sz w:val="20"/>
                <w:szCs w:val="20"/>
              </w:rPr>
            </w:pPr>
          </w:p>
        </w:tc>
        <w:tc>
          <w:tcPr>
            <w:tcW w:w="959" w:type="dxa"/>
          </w:tcPr>
          <w:p w14:paraId="5B61F515" w14:textId="77777777" w:rsidR="00A85BB5" w:rsidRDefault="00A85BB5" w:rsidP="00403638">
            <w:pPr>
              <w:spacing w:before="120" w:after="0" w:line="240" w:lineRule="auto"/>
              <w:jc w:val="both"/>
              <w:rPr>
                <w:rFonts w:ascii="Arial" w:hAnsi="Arial" w:cs="Arial"/>
                <w:b/>
                <w:bCs/>
                <w:sz w:val="20"/>
                <w:szCs w:val="20"/>
              </w:rPr>
            </w:pPr>
          </w:p>
        </w:tc>
        <w:tc>
          <w:tcPr>
            <w:tcW w:w="897" w:type="dxa"/>
          </w:tcPr>
          <w:p w14:paraId="5804143F" w14:textId="77777777" w:rsidR="00A85BB5" w:rsidRDefault="00A85BB5" w:rsidP="00403638">
            <w:pPr>
              <w:spacing w:before="120" w:after="0" w:line="240" w:lineRule="auto"/>
              <w:jc w:val="both"/>
              <w:rPr>
                <w:rFonts w:ascii="Arial" w:hAnsi="Arial" w:cs="Arial"/>
                <w:b/>
                <w:bCs/>
                <w:sz w:val="20"/>
                <w:szCs w:val="20"/>
              </w:rPr>
            </w:pPr>
          </w:p>
        </w:tc>
        <w:tc>
          <w:tcPr>
            <w:tcW w:w="1317" w:type="dxa"/>
          </w:tcPr>
          <w:p w14:paraId="2F89AB20" w14:textId="77777777" w:rsidR="00A85BB5" w:rsidRDefault="00A85BB5" w:rsidP="00403638">
            <w:pPr>
              <w:spacing w:before="120" w:after="0" w:line="240" w:lineRule="auto"/>
              <w:jc w:val="both"/>
              <w:rPr>
                <w:rFonts w:ascii="Arial" w:hAnsi="Arial" w:cs="Arial"/>
                <w:b/>
                <w:bCs/>
                <w:sz w:val="20"/>
                <w:szCs w:val="20"/>
              </w:rPr>
            </w:pPr>
          </w:p>
        </w:tc>
        <w:tc>
          <w:tcPr>
            <w:tcW w:w="1306" w:type="dxa"/>
          </w:tcPr>
          <w:p w14:paraId="4F76B63A" w14:textId="77777777" w:rsidR="00A85BB5" w:rsidRDefault="00A85BB5" w:rsidP="00403638">
            <w:pPr>
              <w:spacing w:before="120" w:after="0" w:line="240" w:lineRule="auto"/>
              <w:jc w:val="both"/>
              <w:rPr>
                <w:rFonts w:ascii="Arial" w:hAnsi="Arial" w:cs="Arial"/>
                <w:b/>
                <w:bCs/>
                <w:sz w:val="20"/>
                <w:szCs w:val="20"/>
              </w:rPr>
            </w:pPr>
          </w:p>
        </w:tc>
        <w:tc>
          <w:tcPr>
            <w:tcW w:w="2926" w:type="dxa"/>
          </w:tcPr>
          <w:p w14:paraId="1839B37A" w14:textId="77777777"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 xml:space="preserve">Dépenses de remboursement du capital de la dette </w:t>
            </w:r>
          </w:p>
        </w:tc>
      </w:tr>
      <w:tr w:rsidR="00A85BB5" w14:paraId="0E5E1D1E" w14:textId="77777777" w:rsidTr="00403638">
        <w:tc>
          <w:tcPr>
            <w:tcW w:w="1037" w:type="dxa"/>
          </w:tcPr>
          <w:p w14:paraId="3C6D8366" w14:textId="77777777" w:rsidR="00A85BB5" w:rsidRDefault="00A85BB5" w:rsidP="00403638">
            <w:pPr>
              <w:spacing w:before="120" w:after="0" w:line="240" w:lineRule="auto"/>
              <w:jc w:val="both"/>
              <w:rPr>
                <w:rFonts w:ascii="Arial" w:hAnsi="Arial" w:cs="Arial"/>
                <w:b/>
                <w:bCs/>
                <w:sz w:val="20"/>
                <w:szCs w:val="20"/>
              </w:rPr>
            </w:pPr>
          </w:p>
        </w:tc>
        <w:tc>
          <w:tcPr>
            <w:tcW w:w="930" w:type="dxa"/>
          </w:tcPr>
          <w:p w14:paraId="5056BCE4" w14:textId="77777777" w:rsidR="00A85BB5" w:rsidRDefault="00A85BB5" w:rsidP="00403638">
            <w:pPr>
              <w:spacing w:before="120" w:after="0" w:line="240" w:lineRule="auto"/>
              <w:jc w:val="both"/>
              <w:rPr>
                <w:rFonts w:ascii="Arial" w:hAnsi="Arial" w:cs="Arial"/>
                <w:b/>
                <w:bCs/>
                <w:sz w:val="20"/>
                <w:szCs w:val="20"/>
              </w:rPr>
            </w:pPr>
          </w:p>
        </w:tc>
        <w:tc>
          <w:tcPr>
            <w:tcW w:w="976" w:type="dxa"/>
          </w:tcPr>
          <w:p w14:paraId="2A9952B1" w14:textId="77777777" w:rsidR="00A85BB5" w:rsidRDefault="00A85BB5" w:rsidP="00403638">
            <w:pPr>
              <w:spacing w:before="120" w:after="0" w:line="240" w:lineRule="auto"/>
              <w:jc w:val="both"/>
              <w:rPr>
                <w:rFonts w:ascii="Arial" w:hAnsi="Arial" w:cs="Arial"/>
                <w:b/>
                <w:bCs/>
                <w:sz w:val="20"/>
                <w:szCs w:val="20"/>
              </w:rPr>
            </w:pPr>
            <w:r>
              <w:rPr>
                <w:rFonts w:ascii="Arial" w:hAnsi="Arial" w:cs="Arial"/>
                <w:b/>
                <w:bCs/>
                <w:sz w:val="20"/>
                <w:szCs w:val="20"/>
              </w:rPr>
              <w:t>10</w:t>
            </w:r>
          </w:p>
        </w:tc>
        <w:tc>
          <w:tcPr>
            <w:tcW w:w="959" w:type="dxa"/>
          </w:tcPr>
          <w:p w14:paraId="57061E4D" w14:textId="77777777" w:rsidR="00A85BB5" w:rsidRDefault="00A85BB5" w:rsidP="00403638">
            <w:pPr>
              <w:spacing w:before="120" w:after="0" w:line="240" w:lineRule="auto"/>
              <w:jc w:val="both"/>
              <w:rPr>
                <w:rFonts w:ascii="Arial" w:hAnsi="Arial" w:cs="Arial"/>
                <w:b/>
                <w:bCs/>
                <w:sz w:val="20"/>
                <w:szCs w:val="20"/>
              </w:rPr>
            </w:pPr>
          </w:p>
        </w:tc>
        <w:tc>
          <w:tcPr>
            <w:tcW w:w="897" w:type="dxa"/>
          </w:tcPr>
          <w:p w14:paraId="20C54D30" w14:textId="77777777" w:rsidR="00A85BB5" w:rsidRDefault="00A85BB5" w:rsidP="00403638">
            <w:pPr>
              <w:spacing w:before="120" w:after="0" w:line="240" w:lineRule="auto"/>
              <w:jc w:val="both"/>
              <w:rPr>
                <w:rFonts w:ascii="Arial" w:hAnsi="Arial" w:cs="Arial"/>
                <w:b/>
                <w:bCs/>
                <w:sz w:val="20"/>
                <w:szCs w:val="20"/>
              </w:rPr>
            </w:pPr>
          </w:p>
        </w:tc>
        <w:tc>
          <w:tcPr>
            <w:tcW w:w="1317" w:type="dxa"/>
          </w:tcPr>
          <w:p w14:paraId="4C2EDC6A" w14:textId="77777777" w:rsidR="00A85BB5" w:rsidRDefault="00A85BB5" w:rsidP="00403638">
            <w:pPr>
              <w:spacing w:before="120" w:after="0" w:line="240" w:lineRule="auto"/>
              <w:jc w:val="both"/>
              <w:rPr>
                <w:rFonts w:ascii="Arial" w:hAnsi="Arial" w:cs="Arial"/>
                <w:b/>
                <w:bCs/>
                <w:sz w:val="20"/>
                <w:szCs w:val="20"/>
              </w:rPr>
            </w:pPr>
          </w:p>
        </w:tc>
        <w:tc>
          <w:tcPr>
            <w:tcW w:w="1306" w:type="dxa"/>
          </w:tcPr>
          <w:p w14:paraId="3CCAAE44" w14:textId="77777777" w:rsidR="00A85BB5" w:rsidRDefault="00A85BB5" w:rsidP="00403638">
            <w:pPr>
              <w:spacing w:before="120" w:after="0" w:line="240" w:lineRule="auto"/>
              <w:jc w:val="both"/>
              <w:rPr>
                <w:rFonts w:ascii="Arial" w:hAnsi="Arial" w:cs="Arial"/>
                <w:b/>
                <w:bCs/>
                <w:sz w:val="20"/>
                <w:szCs w:val="20"/>
              </w:rPr>
            </w:pPr>
          </w:p>
        </w:tc>
        <w:tc>
          <w:tcPr>
            <w:tcW w:w="2926" w:type="dxa"/>
          </w:tcPr>
          <w:p w14:paraId="468C45C9" w14:textId="26B1D3A3"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Remboursement</w:t>
            </w:r>
            <w:r w:rsidRPr="002A77FD">
              <w:rPr>
                <w:rFonts w:ascii="Arial" w:hAnsi="Arial" w:cs="Arial"/>
                <w:sz w:val="20"/>
                <w:szCs w:val="20"/>
              </w:rPr>
              <w:t xml:space="preserve"> du capital de la dette </w:t>
            </w:r>
          </w:p>
        </w:tc>
      </w:tr>
      <w:tr w:rsidR="00A85BB5" w14:paraId="318FBEEE" w14:textId="77777777" w:rsidTr="00403638">
        <w:tc>
          <w:tcPr>
            <w:tcW w:w="1037" w:type="dxa"/>
          </w:tcPr>
          <w:p w14:paraId="4B8FCD5B" w14:textId="77777777" w:rsidR="00A85BB5" w:rsidRDefault="00A85BB5" w:rsidP="00403638">
            <w:pPr>
              <w:spacing w:before="120" w:after="0" w:line="240" w:lineRule="auto"/>
              <w:jc w:val="both"/>
              <w:rPr>
                <w:rFonts w:ascii="Arial" w:hAnsi="Arial" w:cs="Arial"/>
                <w:b/>
                <w:bCs/>
                <w:sz w:val="20"/>
                <w:szCs w:val="20"/>
              </w:rPr>
            </w:pPr>
          </w:p>
        </w:tc>
        <w:tc>
          <w:tcPr>
            <w:tcW w:w="930" w:type="dxa"/>
          </w:tcPr>
          <w:p w14:paraId="66C60482" w14:textId="77777777" w:rsidR="00A85BB5" w:rsidRDefault="00A85BB5" w:rsidP="00403638">
            <w:pPr>
              <w:spacing w:before="120" w:after="0" w:line="240" w:lineRule="auto"/>
              <w:jc w:val="both"/>
              <w:rPr>
                <w:rFonts w:ascii="Arial" w:hAnsi="Arial" w:cs="Arial"/>
                <w:b/>
                <w:bCs/>
                <w:sz w:val="20"/>
                <w:szCs w:val="20"/>
              </w:rPr>
            </w:pPr>
          </w:p>
        </w:tc>
        <w:tc>
          <w:tcPr>
            <w:tcW w:w="976" w:type="dxa"/>
          </w:tcPr>
          <w:p w14:paraId="55A7D102" w14:textId="77777777" w:rsidR="00A85BB5" w:rsidRDefault="00A85BB5" w:rsidP="00403638">
            <w:pPr>
              <w:spacing w:before="120" w:after="0" w:line="240" w:lineRule="auto"/>
              <w:jc w:val="both"/>
              <w:rPr>
                <w:rFonts w:ascii="Arial" w:hAnsi="Arial" w:cs="Arial"/>
                <w:b/>
                <w:bCs/>
                <w:sz w:val="20"/>
                <w:szCs w:val="20"/>
              </w:rPr>
            </w:pPr>
          </w:p>
        </w:tc>
        <w:tc>
          <w:tcPr>
            <w:tcW w:w="959" w:type="dxa"/>
          </w:tcPr>
          <w:p w14:paraId="220A1524" w14:textId="77777777" w:rsidR="00A85BB5" w:rsidRDefault="00A85BB5" w:rsidP="00403638">
            <w:pPr>
              <w:spacing w:before="120" w:after="0" w:line="240" w:lineRule="auto"/>
              <w:jc w:val="both"/>
              <w:rPr>
                <w:rFonts w:ascii="Arial" w:hAnsi="Arial" w:cs="Arial"/>
                <w:b/>
                <w:bCs/>
                <w:sz w:val="20"/>
                <w:szCs w:val="20"/>
              </w:rPr>
            </w:pPr>
            <w:r>
              <w:rPr>
                <w:rFonts w:ascii="Arial" w:hAnsi="Arial" w:cs="Arial"/>
                <w:b/>
                <w:bCs/>
                <w:sz w:val="20"/>
                <w:szCs w:val="20"/>
              </w:rPr>
              <w:t>10.950</w:t>
            </w:r>
          </w:p>
        </w:tc>
        <w:tc>
          <w:tcPr>
            <w:tcW w:w="897" w:type="dxa"/>
          </w:tcPr>
          <w:p w14:paraId="77D9D0A1" w14:textId="77777777" w:rsidR="00A85BB5" w:rsidRDefault="00A85BB5" w:rsidP="00403638">
            <w:pPr>
              <w:spacing w:before="120" w:after="0" w:line="240" w:lineRule="auto"/>
              <w:jc w:val="both"/>
              <w:rPr>
                <w:rFonts w:ascii="Arial" w:hAnsi="Arial" w:cs="Arial"/>
                <w:b/>
                <w:bCs/>
                <w:sz w:val="20"/>
                <w:szCs w:val="20"/>
              </w:rPr>
            </w:pPr>
          </w:p>
        </w:tc>
        <w:tc>
          <w:tcPr>
            <w:tcW w:w="1317" w:type="dxa"/>
          </w:tcPr>
          <w:p w14:paraId="7A25A66C" w14:textId="77777777" w:rsidR="00A85BB5" w:rsidRDefault="00A85BB5" w:rsidP="00403638">
            <w:pPr>
              <w:spacing w:before="120" w:after="0" w:line="240" w:lineRule="auto"/>
              <w:jc w:val="both"/>
              <w:rPr>
                <w:rFonts w:ascii="Arial" w:hAnsi="Arial" w:cs="Arial"/>
                <w:b/>
                <w:bCs/>
                <w:sz w:val="20"/>
                <w:szCs w:val="20"/>
              </w:rPr>
            </w:pPr>
          </w:p>
        </w:tc>
        <w:tc>
          <w:tcPr>
            <w:tcW w:w="1306" w:type="dxa"/>
          </w:tcPr>
          <w:p w14:paraId="116E79D8" w14:textId="77777777" w:rsidR="00A85BB5" w:rsidRDefault="00A85BB5" w:rsidP="00403638">
            <w:pPr>
              <w:spacing w:before="120" w:after="0" w:line="240" w:lineRule="auto"/>
              <w:jc w:val="both"/>
              <w:rPr>
                <w:rFonts w:ascii="Arial" w:hAnsi="Arial" w:cs="Arial"/>
                <w:b/>
                <w:bCs/>
                <w:sz w:val="20"/>
                <w:szCs w:val="20"/>
              </w:rPr>
            </w:pPr>
          </w:p>
        </w:tc>
        <w:tc>
          <w:tcPr>
            <w:tcW w:w="2926" w:type="dxa"/>
          </w:tcPr>
          <w:p w14:paraId="564509A4" w14:textId="12AF98A1"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Remboursement</w:t>
            </w:r>
            <w:r w:rsidRPr="002A77FD">
              <w:rPr>
                <w:rFonts w:ascii="Arial" w:hAnsi="Arial" w:cs="Arial"/>
                <w:sz w:val="20"/>
                <w:szCs w:val="20"/>
              </w:rPr>
              <w:t xml:space="preserve"> du capital de dette intérieure </w:t>
            </w:r>
          </w:p>
        </w:tc>
      </w:tr>
      <w:tr w:rsidR="00A85BB5" w14:paraId="1C22EAFC" w14:textId="77777777" w:rsidTr="00403638">
        <w:tc>
          <w:tcPr>
            <w:tcW w:w="1037" w:type="dxa"/>
          </w:tcPr>
          <w:p w14:paraId="729C8EF1" w14:textId="77777777" w:rsidR="00A85BB5" w:rsidRDefault="00A85BB5" w:rsidP="00403638">
            <w:pPr>
              <w:spacing w:before="120" w:after="0" w:line="240" w:lineRule="auto"/>
              <w:jc w:val="both"/>
              <w:rPr>
                <w:rFonts w:ascii="Arial" w:hAnsi="Arial" w:cs="Arial"/>
                <w:b/>
                <w:bCs/>
                <w:sz w:val="20"/>
                <w:szCs w:val="20"/>
              </w:rPr>
            </w:pPr>
          </w:p>
        </w:tc>
        <w:tc>
          <w:tcPr>
            <w:tcW w:w="930" w:type="dxa"/>
          </w:tcPr>
          <w:p w14:paraId="7B24B59F" w14:textId="77777777" w:rsidR="00A85BB5" w:rsidRDefault="00A85BB5" w:rsidP="00403638">
            <w:pPr>
              <w:spacing w:before="120" w:after="0" w:line="240" w:lineRule="auto"/>
              <w:jc w:val="both"/>
              <w:rPr>
                <w:rFonts w:ascii="Arial" w:hAnsi="Arial" w:cs="Arial"/>
                <w:b/>
                <w:bCs/>
                <w:sz w:val="20"/>
                <w:szCs w:val="20"/>
              </w:rPr>
            </w:pPr>
          </w:p>
        </w:tc>
        <w:tc>
          <w:tcPr>
            <w:tcW w:w="976" w:type="dxa"/>
          </w:tcPr>
          <w:p w14:paraId="4A58A18D" w14:textId="77777777" w:rsidR="00A85BB5" w:rsidRDefault="00A85BB5" w:rsidP="00403638">
            <w:pPr>
              <w:spacing w:before="120" w:after="0" w:line="240" w:lineRule="auto"/>
              <w:jc w:val="both"/>
              <w:rPr>
                <w:rFonts w:ascii="Arial" w:hAnsi="Arial" w:cs="Arial"/>
                <w:b/>
                <w:bCs/>
                <w:sz w:val="20"/>
                <w:szCs w:val="20"/>
              </w:rPr>
            </w:pPr>
          </w:p>
        </w:tc>
        <w:tc>
          <w:tcPr>
            <w:tcW w:w="959" w:type="dxa"/>
          </w:tcPr>
          <w:p w14:paraId="453A83C0" w14:textId="77777777" w:rsidR="00A85BB5" w:rsidRDefault="00A85BB5" w:rsidP="00403638">
            <w:pPr>
              <w:spacing w:before="120" w:after="0" w:line="240" w:lineRule="auto"/>
              <w:jc w:val="both"/>
              <w:rPr>
                <w:rFonts w:ascii="Arial" w:hAnsi="Arial" w:cs="Arial"/>
                <w:b/>
                <w:bCs/>
                <w:sz w:val="20"/>
                <w:szCs w:val="20"/>
              </w:rPr>
            </w:pPr>
          </w:p>
        </w:tc>
        <w:tc>
          <w:tcPr>
            <w:tcW w:w="897" w:type="dxa"/>
          </w:tcPr>
          <w:p w14:paraId="70DD3B4F" w14:textId="77777777" w:rsidR="00A85BB5" w:rsidRDefault="00A85BB5" w:rsidP="00403638">
            <w:pPr>
              <w:spacing w:before="120" w:after="0" w:line="240" w:lineRule="auto"/>
              <w:jc w:val="both"/>
              <w:rPr>
                <w:rFonts w:ascii="Arial" w:hAnsi="Arial" w:cs="Arial"/>
                <w:b/>
                <w:bCs/>
                <w:sz w:val="20"/>
                <w:szCs w:val="20"/>
              </w:rPr>
            </w:pPr>
            <w:r>
              <w:rPr>
                <w:rFonts w:ascii="Arial" w:hAnsi="Arial" w:cs="Arial"/>
                <w:b/>
                <w:bCs/>
                <w:sz w:val="20"/>
                <w:szCs w:val="20"/>
              </w:rPr>
              <w:t>1</w:t>
            </w:r>
          </w:p>
        </w:tc>
        <w:tc>
          <w:tcPr>
            <w:tcW w:w="1317" w:type="dxa"/>
          </w:tcPr>
          <w:p w14:paraId="72392861" w14:textId="77777777" w:rsidR="00A85BB5" w:rsidRDefault="00A85BB5" w:rsidP="00403638">
            <w:pPr>
              <w:spacing w:before="120" w:after="0" w:line="240" w:lineRule="auto"/>
              <w:jc w:val="both"/>
              <w:rPr>
                <w:rFonts w:ascii="Arial" w:hAnsi="Arial" w:cs="Arial"/>
                <w:b/>
                <w:bCs/>
                <w:sz w:val="20"/>
                <w:szCs w:val="20"/>
              </w:rPr>
            </w:pPr>
          </w:p>
        </w:tc>
        <w:tc>
          <w:tcPr>
            <w:tcW w:w="1306" w:type="dxa"/>
          </w:tcPr>
          <w:p w14:paraId="15CEF39F" w14:textId="77777777" w:rsidR="00A85BB5" w:rsidRDefault="00A85BB5" w:rsidP="00403638">
            <w:pPr>
              <w:spacing w:before="120" w:after="0" w:line="240" w:lineRule="auto"/>
              <w:jc w:val="both"/>
              <w:rPr>
                <w:rFonts w:ascii="Arial" w:hAnsi="Arial" w:cs="Arial"/>
                <w:b/>
                <w:bCs/>
                <w:sz w:val="20"/>
                <w:szCs w:val="20"/>
              </w:rPr>
            </w:pPr>
          </w:p>
        </w:tc>
        <w:tc>
          <w:tcPr>
            <w:tcW w:w="2926" w:type="dxa"/>
          </w:tcPr>
          <w:p w14:paraId="3F64E145" w14:textId="283F7A48"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Remboursement</w:t>
            </w:r>
            <w:r w:rsidRPr="002A77FD">
              <w:rPr>
                <w:rFonts w:ascii="Arial" w:hAnsi="Arial" w:cs="Arial"/>
                <w:sz w:val="20"/>
                <w:szCs w:val="20"/>
              </w:rPr>
              <w:t xml:space="preserve"> du capital de la dette extérieure </w:t>
            </w:r>
          </w:p>
        </w:tc>
      </w:tr>
      <w:tr w:rsidR="00A85BB5" w14:paraId="538C54B1" w14:textId="77777777" w:rsidTr="00403638">
        <w:tc>
          <w:tcPr>
            <w:tcW w:w="1037" w:type="dxa"/>
          </w:tcPr>
          <w:p w14:paraId="029D9400" w14:textId="77777777" w:rsidR="00A85BB5" w:rsidRDefault="00A85BB5" w:rsidP="00403638">
            <w:pPr>
              <w:spacing w:before="120" w:after="0" w:line="240" w:lineRule="auto"/>
              <w:jc w:val="both"/>
              <w:rPr>
                <w:rFonts w:ascii="Arial" w:hAnsi="Arial" w:cs="Arial"/>
                <w:b/>
                <w:bCs/>
                <w:sz w:val="20"/>
                <w:szCs w:val="20"/>
              </w:rPr>
            </w:pPr>
          </w:p>
        </w:tc>
        <w:tc>
          <w:tcPr>
            <w:tcW w:w="930" w:type="dxa"/>
          </w:tcPr>
          <w:p w14:paraId="72437E4B" w14:textId="77777777" w:rsidR="00A85BB5" w:rsidRDefault="00A85BB5" w:rsidP="00403638">
            <w:pPr>
              <w:spacing w:before="120" w:after="0" w:line="240" w:lineRule="auto"/>
              <w:jc w:val="both"/>
              <w:rPr>
                <w:rFonts w:ascii="Arial" w:hAnsi="Arial" w:cs="Arial"/>
                <w:b/>
                <w:bCs/>
                <w:sz w:val="20"/>
                <w:szCs w:val="20"/>
              </w:rPr>
            </w:pPr>
          </w:p>
        </w:tc>
        <w:tc>
          <w:tcPr>
            <w:tcW w:w="976" w:type="dxa"/>
          </w:tcPr>
          <w:p w14:paraId="2250E93A" w14:textId="77777777" w:rsidR="00A85BB5" w:rsidRDefault="00A85BB5" w:rsidP="00403638">
            <w:pPr>
              <w:spacing w:before="120" w:after="0" w:line="240" w:lineRule="auto"/>
              <w:jc w:val="both"/>
              <w:rPr>
                <w:rFonts w:ascii="Arial" w:hAnsi="Arial" w:cs="Arial"/>
                <w:b/>
                <w:bCs/>
                <w:sz w:val="20"/>
                <w:szCs w:val="20"/>
              </w:rPr>
            </w:pPr>
          </w:p>
        </w:tc>
        <w:tc>
          <w:tcPr>
            <w:tcW w:w="959" w:type="dxa"/>
          </w:tcPr>
          <w:p w14:paraId="151028B8" w14:textId="77777777" w:rsidR="00A85BB5" w:rsidRDefault="00A85BB5" w:rsidP="00403638">
            <w:pPr>
              <w:spacing w:before="120" w:after="0" w:line="240" w:lineRule="auto"/>
              <w:jc w:val="both"/>
              <w:rPr>
                <w:rFonts w:ascii="Arial" w:hAnsi="Arial" w:cs="Arial"/>
                <w:b/>
                <w:bCs/>
                <w:sz w:val="20"/>
                <w:szCs w:val="20"/>
              </w:rPr>
            </w:pPr>
          </w:p>
        </w:tc>
        <w:tc>
          <w:tcPr>
            <w:tcW w:w="897" w:type="dxa"/>
          </w:tcPr>
          <w:p w14:paraId="27F6DBBC" w14:textId="77777777" w:rsidR="00A85BB5" w:rsidRDefault="00A85BB5" w:rsidP="00403638">
            <w:pPr>
              <w:spacing w:before="120" w:after="0" w:line="240" w:lineRule="auto"/>
              <w:jc w:val="both"/>
              <w:rPr>
                <w:rFonts w:ascii="Arial" w:hAnsi="Arial" w:cs="Arial"/>
                <w:b/>
                <w:bCs/>
                <w:sz w:val="20"/>
                <w:szCs w:val="20"/>
              </w:rPr>
            </w:pPr>
            <w:r>
              <w:rPr>
                <w:rFonts w:ascii="Arial" w:hAnsi="Arial" w:cs="Arial"/>
                <w:b/>
                <w:bCs/>
                <w:sz w:val="20"/>
                <w:szCs w:val="20"/>
              </w:rPr>
              <w:t>2</w:t>
            </w:r>
          </w:p>
        </w:tc>
        <w:tc>
          <w:tcPr>
            <w:tcW w:w="1317" w:type="dxa"/>
          </w:tcPr>
          <w:p w14:paraId="44587A50" w14:textId="77777777" w:rsidR="00A85BB5" w:rsidRDefault="00A85BB5" w:rsidP="00403638">
            <w:pPr>
              <w:spacing w:before="120" w:after="0" w:line="240" w:lineRule="auto"/>
              <w:jc w:val="both"/>
              <w:rPr>
                <w:rFonts w:ascii="Arial" w:hAnsi="Arial" w:cs="Arial"/>
                <w:b/>
                <w:bCs/>
                <w:sz w:val="20"/>
                <w:szCs w:val="20"/>
              </w:rPr>
            </w:pPr>
          </w:p>
        </w:tc>
        <w:tc>
          <w:tcPr>
            <w:tcW w:w="1306" w:type="dxa"/>
          </w:tcPr>
          <w:p w14:paraId="11591FB0" w14:textId="77777777" w:rsidR="00A85BB5" w:rsidRDefault="00A85BB5" w:rsidP="00403638">
            <w:pPr>
              <w:spacing w:before="120" w:after="0" w:line="240" w:lineRule="auto"/>
              <w:jc w:val="both"/>
              <w:rPr>
                <w:rFonts w:ascii="Arial" w:hAnsi="Arial" w:cs="Arial"/>
                <w:b/>
                <w:bCs/>
                <w:sz w:val="20"/>
                <w:szCs w:val="20"/>
              </w:rPr>
            </w:pPr>
          </w:p>
        </w:tc>
        <w:tc>
          <w:tcPr>
            <w:tcW w:w="2926" w:type="dxa"/>
          </w:tcPr>
          <w:p w14:paraId="23216780" w14:textId="6DCDB861"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Remboursement</w:t>
            </w:r>
            <w:r w:rsidRPr="002A77FD">
              <w:rPr>
                <w:rFonts w:ascii="Arial" w:hAnsi="Arial" w:cs="Arial"/>
                <w:sz w:val="20"/>
                <w:szCs w:val="20"/>
              </w:rPr>
              <w:t xml:space="preserve"> du capital de la dette affectée </w:t>
            </w:r>
          </w:p>
        </w:tc>
      </w:tr>
      <w:tr w:rsidR="00A85BB5" w14:paraId="32AC29E7" w14:textId="77777777" w:rsidTr="00403638">
        <w:tc>
          <w:tcPr>
            <w:tcW w:w="10348" w:type="dxa"/>
            <w:gridSpan w:val="8"/>
          </w:tcPr>
          <w:p w14:paraId="4999F72C" w14:textId="77777777" w:rsidR="00A85BB5" w:rsidRDefault="00A85BB5" w:rsidP="00403638">
            <w:pPr>
              <w:spacing w:before="120" w:after="0" w:line="240" w:lineRule="auto"/>
              <w:ind w:left="284"/>
              <w:jc w:val="center"/>
              <w:rPr>
                <w:rFonts w:ascii="Arial" w:hAnsi="Arial" w:cs="Arial" w:hint="cs"/>
                <w:b/>
                <w:bCs/>
                <w:sz w:val="20"/>
                <w:szCs w:val="20"/>
                <w:rtl/>
              </w:rPr>
            </w:pPr>
            <w:r w:rsidRPr="002A77FD">
              <w:rPr>
                <w:rFonts w:ascii="Arial" w:hAnsi="Arial" w:cs="Arial"/>
                <w:b/>
                <w:bCs/>
                <w:sz w:val="20"/>
                <w:szCs w:val="20"/>
              </w:rPr>
              <w:t>Nomenclature modifiée</w:t>
            </w:r>
          </w:p>
        </w:tc>
      </w:tr>
      <w:tr w:rsidR="00A85BB5" w14:paraId="7F089C24" w14:textId="77777777" w:rsidTr="00403638">
        <w:tc>
          <w:tcPr>
            <w:tcW w:w="1037" w:type="dxa"/>
          </w:tcPr>
          <w:p w14:paraId="11D0515F"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Titre </w:t>
            </w:r>
          </w:p>
        </w:tc>
        <w:tc>
          <w:tcPr>
            <w:tcW w:w="930" w:type="dxa"/>
          </w:tcPr>
          <w:p w14:paraId="7FCE63CD"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Partie </w:t>
            </w:r>
          </w:p>
        </w:tc>
        <w:tc>
          <w:tcPr>
            <w:tcW w:w="976" w:type="dxa"/>
          </w:tcPr>
          <w:p w14:paraId="2BD7BBD1"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Section </w:t>
            </w:r>
          </w:p>
        </w:tc>
        <w:tc>
          <w:tcPr>
            <w:tcW w:w="959" w:type="dxa"/>
          </w:tcPr>
          <w:p w14:paraId="0E4CFCA6"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s. section </w:t>
            </w:r>
          </w:p>
        </w:tc>
        <w:tc>
          <w:tcPr>
            <w:tcW w:w="897" w:type="dxa"/>
          </w:tcPr>
          <w:p w14:paraId="3A8516DD"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Article </w:t>
            </w:r>
          </w:p>
        </w:tc>
        <w:tc>
          <w:tcPr>
            <w:tcW w:w="1317" w:type="dxa"/>
          </w:tcPr>
          <w:p w14:paraId="1ECAFCB8"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Paragraphe </w:t>
            </w:r>
          </w:p>
        </w:tc>
        <w:tc>
          <w:tcPr>
            <w:tcW w:w="1306" w:type="dxa"/>
          </w:tcPr>
          <w:p w14:paraId="6C4DEFEA"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s. paragraphe </w:t>
            </w:r>
          </w:p>
        </w:tc>
        <w:tc>
          <w:tcPr>
            <w:tcW w:w="2926" w:type="dxa"/>
          </w:tcPr>
          <w:p w14:paraId="04F9D262" w14:textId="77777777" w:rsidR="00A85BB5" w:rsidRPr="002A77FD" w:rsidRDefault="00A85BB5" w:rsidP="00403638">
            <w:pPr>
              <w:spacing w:before="120" w:after="0" w:line="240" w:lineRule="auto"/>
              <w:jc w:val="both"/>
              <w:rPr>
                <w:rFonts w:ascii="Arial" w:hAnsi="Arial" w:cs="Arial"/>
                <w:b/>
                <w:bCs/>
                <w:sz w:val="20"/>
                <w:szCs w:val="20"/>
              </w:rPr>
            </w:pPr>
            <w:r w:rsidRPr="002A77FD">
              <w:rPr>
                <w:rFonts w:ascii="Arial" w:hAnsi="Arial" w:cs="Arial"/>
                <w:b/>
                <w:bCs/>
                <w:sz w:val="20"/>
                <w:szCs w:val="20"/>
              </w:rPr>
              <w:t xml:space="preserve">Libellé des dépenses </w:t>
            </w:r>
          </w:p>
        </w:tc>
      </w:tr>
      <w:tr w:rsidR="00A85BB5" w14:paraId="66F03412" w14:textId="77777777" w:rsidTr="00403638">
        <w:tc>
          <w:tcPr>
            <w:tcW w:w="1037" w:type="dxa"/>
            <w:vAlign w:val="center"/>
          </w:tcPr>
          <w:p w14:paraId="085B072B" w14:textId="77777777" w:rsidR="00A85BB5" w:rsidRDefault="00A85BB5" w:rsidP="00403638">
            <w:pPr>
              <w:spacing w:before="120" w:after="0" w:line="240" w:lineRule="auto"/>
              <w:jc w:val="center"/>
              <w:rPr>
                <w:rFonts w:ascii="Arial" w:hAnsi="Arial" w:cs="Arial"/>
                <w:b/>
                <w:bCs/>
                <w:sz w:val="20"/>
                <w:szCs w:val="20"/>
              </w:rPr>
            </w:pPr>
            <w:r>
              <w:rPr>
                <w:rFonts w:ascii="Arial" w:hAnsi="Arial" w:cs="Arial" w:hint="cs"/>
                <w:b/>
                <w:bCs/>
                <w:sz w:val="20"/>
                <w:szCs w:val="20"/>
                <w:rtl/>
              </w:rPr>
              <w:t>2</w:t>
            </w:r>
          </w:p>
        </w:tc>
        <w:tc>
          <w:tcPr>
            <w:tcW w:w="930" w:type="dxa"/>
            <w:vAlign w:val="center"/>
          </w:tcPr>
          <w:p w14:paraId="272EBA4A" w14:textId="77777777" w:rsidR="00A85BB5" w:rsidRDefault="00A85BB5" w:rsidP="00403638">
            <w:pPr>
              <w:spacing w:before="120" w:after="0" w:line="240" w:lineRule="auto"/>
              <w:jc w:val="center"/>
              <w:rPr>
                <w:rFonts w:ascii="Arial" w:hAnsi="Arial" w:cs="Arial"/>
                <w:b/>
                <w:bCs/>
                <w:sz w:val="20"/>
                <w:szCs w:val="20"/>
              </w:rPr>
            </w:pPr>
            <w:r>
              <w:rPr>
                <w:rFonts w:ascii="Arial" w:hAnsi="Arial" w:cs="Arial" w:hint="cs"/>
                <w:b/>
                <w:bCs/>
                <w:sz w:val="20"/>
                <w:szCs w:val="20"/>
                <w:rtl/>
              </w:rPr>
              <w:t>4</w:t>
            </w:r>
          </w:p>
        </w:tc>
        <w:tc>
          <w:tcPr>
            <w:tcW w:w="976" w:type="dxa"/>
            <w:vAlign w:val="center"/>
          </w:tcPr>
          <w:p w14:paraId="46AD6F2A" w14:textId="77777777" w:rsidR="00A85BB5" w:rsidRDefault="00A85BB5" w:rsidP="00403638">
            <w:pPr>
              <w:spacing w:before="120" w:after="0" w:line="240" w:lineRule="auto"/>
              <w:jc w:val="center"/>
              <w:rPr>
                <w:rFonts w:ascii="Arial" w:hAnsi="Arial" w:cs="Arial"/>
                <w:b/>
                <w:bCs/>
                <w:sz w:val="20"/>
                <w:szCs w:val="20"/>
              </w:rPr>
            </w:pPr>
          </w:p>
        </w:tc>
        <w:tc>
          <w:tcPr>
            <w:tcW w:w="959" w:type="dxa"/>
            <w:vAlign w:val="center"/>
          </w:tcPr>
          <w:p w14:paraId="068E86A3" w14:textId="77777777" w:rsidR="00A85BB5" w:rsidRDefault="00A85BB5" w:rsidP="00403638">
            <w:pPr>
              <w:spacing w:before="120" w:after="0" w:line="240" w:lineRule="auto"/>
              <w:jc w:val="center"/>
              <w:rPr>
                <w:rFonts w:ascii="Arial" w:hAnsi="Arial" w:cs="Arial"/>
                <w:b/>
                <w:bCs/>
                <w:sz w:val="20"/>
                <w:szCs w:val="20"/>
              </w:rPr>
            </w:pPr>
          </w:p>
        </w:tc>
        <w:tc>
          <w:tcPr>
            <w:tcW w:w="897" w:type="dxa"/>
            <w:vAlign w:val="center"/>
          </w:tcPr>
          <w:p w14:paraId="24CFCFAB" w14:textId="77777777" w:rsidR="00A85BB5" w:rsidRDefault="00A85BB5" w:rsidP="00403638">
            <w:pPr>
              <w:spacing w:before="120" w:after="0" w:line="240" w:lineRule="auto"/>
              <w:jc w:val="center"/>
              <w:rPr>
                <w:rFonts w:ascii="Arial" w:hAnsi="Arial" w:cs="Arial"/>
                <w:b/>
                <w:bCs/>
                <w:sz w:val="20"/>
                <w:szCs w:val="20"/>
              </w:rPr>
            </w:pPr>
          </w:p>
        </w:tc>
        <w:tc>
          <w:tcPr>
            <w:tcW w:w="1317" w:type="dxa"/>
            <w:vAlign w:val="center"/>
          </w:tcPr>
          <w:p w14:paraId="535E8C4A" w14:textId="77777777" w:rsidR="00A85BB5" w:rsidRDefault="00A85BB5" w:rsidP="00403638">
            <w:pPr>
              <w:spacing w:before="120" w:after="0" w:line="240" w:lineRule="auto"/>
              <w:jc w:val="center"/>
              <w:rPr>
                <w:rFonts w:ascii="Arial" w:hAnsi="Arial" w:cs="Arial"/>
                <w:b/>
                <w:bCs/>
                <w:sz w:val="20"/>
                <w:szCs w:val="20"/>
              </w:rPr>
            </w:pPr>
          </w:p>
        </w:tc>
        <w:tc>
          <w:tcPr>
            <w:tcW w:w="1306" w:type="dxa"/>
            <w:vAlign w:val="center"/>
          </w:tcPr>
          <w:p w14:paraId="6D38E36C" w14:textId="77777777" w:rsidR="00A85BB5" w:rsidRDefault="00A85BB5" w:rsidP="00403638">
            <w:pPr>
              <w:spacing w:before="120" w:after="0" w:line="240" w:lineRule="auto"/>
              <w:jc w:val="center"/>
              <w:rPr>
                <w:rFonts w:ascii="Arial" w:hAnsi="Arial" w:cs="Arial"/>
                <w:b/>
                <w:bCs/>
                <w:sz w:val="20"/>
                <w:szCs w:val="20"/>
              </w:rPr>
            </w:pPr>
          </w:p>
        </w:tc>
        <w:tc>
          <w:tcPr>
            <w:tcW w:w="2926" w:type="dxa"/>
          </w:tcPr>
          <w:p w14:paraId="3A799FB2" w14:textId="77777777"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Dépenses de remboursement du capital de la dette</w:t>
            </w:r>
          </w:p>
        </w:tc>
      </w:tr>
      <w:tr w:rsidR="00A85BB5" w14:paraId="7E1CAA75" w14:textId="77777777" w:rsidTr="00403638">
        <w:tc>
          <w:tcPr>
            <w:tcW w:w="1037" w:type="dxa"/>
            <w:vAlign w:val="center"/>
          </w:tcPr>
          <w:p w14:paraId="280A9086" w14:textId="77777777" w:rsidR="00A85BB5" w:rsidRDefault="00A85BB5" w:rsidP="00403638">
            <w:pPr>
              <w:spacing w:before="120" w:after="0" w:line="240" w:lineRule="auto"/>
              <w:jc w:val="center"/>
              <w:rPr>
                <w:rFonts w:ascii="Arial" w:hAnsi="Arial" w:cs="Arial"/>
                <w:b/>
                <w:bCs/>
                <w:sz w:val="20"/>
                <w:szCs w:val="20"/>
              </w:rPr>
            </w:pPr>
          </w:p>
        </w:tc>
        <w:tc>
          <w:tcPr>
            <w:tcW w:w="930" w:type="dxa"/>
            <w:vAlign w:val="center"/>
          </w:tcPr>
          <w:p w14:paraId="3857336E" w14:textId="77777777" w:rsidR="00A85BB5" w:rsidRDefault="00A85BB5" w:rsidP="00403638">
            <w:pPr>
              <w:spacing w:before="120" w:after="0" w:line="240" w:lineRule="auto"/>
              <w:jc w:val="center"/>
              <w:rPr>
                <w:rFonts w:ascii="Arial" w:hAnsi="Arial" w:cs="Arial"/>
                <w:b/>
                <w:bCs/>
                <w:sz w:val="20"/>
                <w:szCs w:val="20"/>
              </w:rPr>
            </w:pPr>
          </w:p>
        </w:tc>
        <w:tc>
          <w:tcPr>
            <w:tcW w:w="976" w:type="dxa"/>
            <w:vAlign w:val="center"/>
          </w:tcPr>
          <w:p w14:paraId="045CD922" w14:textId="77777777" w:rsidR="00A85BB5" w:rsidRDefault="00A85BB5" w:rsidP="00403638">
            <w:pPr>
              <w:spacing w:before="120" w:after="0" w:line="240" w:lineRule="auto"/>
              <w:jc w:val="center"/>
              <w:rPr>
                <w:rFonts w:ascii="Arial" w:hAnsi="Arial" w:cs="Arial"/>
                <w:b/>
                <w:bCs/>
                <w:sz w:val="20"/>
                <w:szCs w:val="20"/>
              </w:rPr>
            </w:pPr>
            <w:r>
              <w:rPr>
                <w:rFonts w:ascii="Arial" w:hAnsi="Arial" w:cs="Arial" w:hint="cs"/>
                <w:b/>
                <w:bCs/>
                <w:sz w:val="20"/>
                <w:szCs w:val="20"/>
                <w:rtl/>
              </w:rPr>
              <w:t>10</w:t>
            </w:r>
          </w:p>
        </w:tc>
        <w:tc>
          <w:tcPr>
            <w:tcW w:w="959" w:type="dxa"/>
            <w:vAlign w:val="center"/>
          </w:tcPr>
          <w:p w14:paraId="79029C7A" w14:textId="77777777" w:rsidR="00A85BB5" w:rsidRDefault="00A85BB5" w:rsidP="00403638">
            <w:pPr>
              <w:spacing w:before="120" w:after="0" w:line="240" w:lineRule="auto"/>
              <w:jc w:val="center"/>
              <w:rPr>
                <w:rFonts w:ascii="Arial" w:hAnsi="Arial" w:cs="Arial"/>
                <w:b/>
                <w:bCs/>
                <w:sz w:val="20"/>
                <w:szCs w:val="20"/>
              </w:rPr>
            </w:pPr>
          </w:p>
        </w:tc>
        <w:tc>
          <w:tcPr>
            <w:tcW w:w="897" w:type="dxa"/>
            <w:vAlign w:val="center"/>
          </w:tcPr>
          <w:p w14:paraId="7439FE2F" w14:textId="77777777" w:rsidR="00A85BB5" w:rsidRDefault="00A85BB5" w:rsidP="00403638">
            <w:pPr>
              <w:spacing w:before="120" w:after="0" w:line="240" w:lineRule="auto"/>
              <w:jc w:val="center"/>
              <w:rPr>
                <w:rFonts w:ascii="Arial" w:hAnsi="Arial" w:cs="Arial"/>
                <w:b/>
                <w:bCs/>
                <w:sz w:val="20"/>
                <w:szCs w:val="20"/>
              </w:rPr>
            </w:pPr>
          </w:p>
        </w:tc>
        <w:tc>
          <w:tcPr>
            <w:tcW w:w="1317" w:type="dxa"/>
            <w:vAlign w:val="center"/>
          </w:tcPr>
          <w:p w14:paraId="6FD959AA" w14:textId="77777777" w:rsidR="00A85BB5" w:rsidRDefault="00A85BB5" w:rsidP="00403638">
            <w:pPr>
              <w:spacing w:before="120" w:after="0" w:line="240" w:lineRule="auto"/>
              <w:jc w:val="center"/>
              <w:rPr>
                <w:rFonts w:ascii="Arial" w:hAnsi="Arial" w:cs="Arial"/>
                <w:b/>
                <w:bCs/>
                <w:sz w:val="20"/>
                <w:szCs w:val="20"/>
              </w:rPr>
            </w:pPr>
          </w:p>
        </w:tc>
        <w:tc>
          <w:tcPr>
            <w:tcW w:w="1306" w:type="dxa"/>
            <w:vAlign w:val="center"/>
          </w:tcPr>
          <w:p w14:paraId="0051D40F" w14:textId="77777777" w:rsidR="00A85BB5" w:rsidRDefault="00A85BB5" w:rsidP="00403638">
            <w:pPr>
              <w:spacing w:before="120" w:after="0" w:line="240" w:lineRule="auto"/>
              <w:jc w:val="center"/>
              <w:rPr>
                <w:rFonts w:ascii="Arial" w:hAnsi="Arial" w:cs="Arial"/>
                <w:b/>
                <w:bCs/>
                <w:sz w:val="20"/>
                <w:szCs w:val="20"/>
              </w:rPr>
            </w:pPr>
          </w:p>
        </w:tc>
        <w:tc>
          <w:tcPr>
            <w:tcW w:w="2926" w:type="dxa"/>
          </w:tcPr>
          <w:p w14:paraId="5E40FC51" w14:textId="77777777"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Remboursement du capital de la dette</w:t>
            </w:r>
          </w:p>
        </w:tc>
      </w:tr>
      <w:tr w:rsidR="00A85BB5" w14:paraId="4E909798" w14:textId="77777777" w:rsidTr="00403638">
        <w:tc>
          <w:tcPr>
            <w:tcW w:w="1037" w:type="dxa"/>
            <w:vAlign w:val="center"/>
          </w:tcPr>
          <w:p w14:paraId="2CC43C79" w14:textId="77777777" w:rsidR="00A85BB5" w:rsidRDefault="00A85BB5" w:rsidP="00403638">
            <w:pPr>
              <w:spacing w:before="120" w:after="0" w:line="240" w:lineRule="auto"/>
              <w:jc w:val="center"/>
              <w:rPr>
                <w:rFonts w:ascii="Arial" w:hAnsi="Arial" w:cs="Arial"/>
                <w:b/>
                <w:bCs/>
                <w:sz w:val="20"/>
                <w:szCs w:val="20"/>
              </w:rPr>
            </w:pPr>
          </w:p>
        </w:tc>
        <w:tc>
          <w:tcPr>
            <w:tcW w:w="930" w:type="dxa"/>
            <w:vAlign w:val="center"/>
          </w:tcPr>
          <w:p w14:paraId="7F50AC12" w14:textId="77777777" w:rsidR="00A85BB5" w:rsidRDefault="00A85BB5" w:rsidP="00403638">
            <w:pPr>
              <w:spacing w:before="120" w:after="0" w:line="240" w:lineRule="auto"/>
              <w:jc w:val="center"/>
              <w:rPr>
                <w:rFonts w:ascii="Arial" w:hAnsi="Arial" w:cs="Arial"/>
                <w:b/>
                <w:bCs/>
                <w:sz w:val="20"/>
                <w:szCs w:val="20"/>
              </w:rPr>
            </w:pPr>
          </w:p>
        </w:tc>
        <w:tc>
          <w:tcPr>
            <w:tcW w:w="976" w:type="dxa"/>
            <w:vAlign w:val="center"/>
          </w:tcPr>
          <w:p w14:paraId="54E61EA1" w14:textId="77777777" w:rsidR="00A85BB5" w:rsidRDefault="00A85BB5" w:rsidP="00403638">
            <w:pPr>
              <w:spacing w:before="120" w:after="0" w:line="240" w:lineRule="auto"/>
              <w:jc w:val="center"/>
              <w:rPr>
                <w:rFonts w:ascii="Arial" w:hAnsi="Arial" w:cs="Arial"/>
                <w:b/>
                <w:bCs/>
                <w:sz w:val="20"/>
                <w:szCs w:val="20"/>
              </w:rPr>
            </w:pPr>
          </w:p>
        </w:tc>
        <w:tc>
          <w:tcPr>
            <w:tcW w:w="959" w:type="dxa"/>
            <w:vAlign w:val="center"/>
          </w:tcPr>
          <w:p w14:paraId="1B31FC81" w14:textId="77777777" w:rsidR="00A85BB5" w:rsidRDefault="00A85BB5" w:rsidP="00403638">
            <w:pPr>
              <w:spacing w:before="120" w:after="0" w:line="240" w:lineRule="auto"/>
              <w:jc w:val="center"/>
              <w:rPr>
                <w:rFonts w:ascii="Arial" w:hAnsi="Arial" w:cs="Arial"/>
                <w:b/>
                <w:bCs/>
                <w:sz w:val="20"/>
                <w:szCs w:val="20"/>
              </w:rPr>
            </w:pPr>
          </w:p>
        </w:tc>
        <w:tc>
          <w:tcPr>
            <w:tcW w:w="897" w:type="dxa"/>
            <w:vAlign w:val="center"/>
          </w:tcPr>
          <w:p w14:paraId="67B0978F" w14:textId="77777777" w:rsidR="00A85BB5" w:rsidRDefault="00A85BB5" w:rsidP="00403638">
            <w:pPr>
              <w:spacing w:before="120" w:after="0" w:line="240" w:lineRule="auto"/>
              <w:jc w:val="center"/>
              <w:rPr>
                <w:rFonts w:ascii="Arial" w:hAnsi="Arial" w:cs="Arial"/>
                <w:b/>
                <w:bCs/>
                <w:sz w:val="20"/>
                <w:szCs w:val="20"/>
              </w:rPr>
            </w:pPr>
            <w:r>
              <w:rPr>
                <w:rFonts w:ascii="Arial" w:hAnsi="Arial" w:cs="Arial" w:hint="cs"/>
                <w:b/>
                <w:bCs/>
                <w:sz w:val="20"/>
                <w:szCs w:val="20"/>
                <w:rtl/>
              </w:rPr>
              <w:t>10.950</w:t>
            </w:r>
          </w:p>
        </w:tc>
        <w:tc>
          <w:tcPr>
            <w:tcW w:w="1317" w:type="dxa"/>
            <w:vAlign w:val="center"/>
          </w:tcPr>
          <w:p w14:paraId="7CB339B7" w14:textId="77777777" w:rsidR="00A85BB5" w:rsidRDefault="00A85BB5" w:rsidP="00403638">
            <w:pPr>
              <w:spacing w:before="120" w:after="0" w:line="240" w:lineRule="auto"/>
              <w:jc w:val="center"/>
              <w:rPr>
                <w:rFonts w:ascii="Arial" w:hAnsi="Arial" w:cs="Arial"/>
                <w:b/>
                <w:bCs/>
                <w:sz w:val="20"/>
                <w:szCs w:val="20"/>
              </w:rPr>
            </w:pPr>
          </w:p>
        </w:tc>
        <w:tc>
          <w:tcPr>
            <w:tcW w:w="1306" w:type="dxa"/>
            <w:vAlign w:val="center"/>
          </w:tcPr>
          <w:p w14:paraId="02BA097C" w14:textId="77777777" w:rsidR="00A85BB5" w:rsidRDefault="00A85BB5" w:rsidP="00403638">
            <w:pPr>
              <w:spacing w:before="120" w:after="0" w:line="240" w:lineRule="auto"/>
              <w:jc w:val="center"/>
              <w:rPr>
                <w:rFonts w:ascii="Arial" w:hAnsi="Arial" w:cs="Arial"/>
                <w:b/>
                <w:bCs/>
                <w:sz w:val="20"/>
                <w:szCs w:val="20"/>
              </w:rPr>
            </w:pPr>
          </w:p>
        </w:tc>
        <w:tc>
          <w:tcPr>
            <w:tcW w:w="2926" w:type="dxa"/>
          </w:tcPr>
          <w:p w14:paraId="360A9205" w14:textId="77777777"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Remboursement du capital de la dette intérieure</w:t>
            </w:r>
          </w:p>
        </w:tc>
      </w:tr>
      <w:tr w:rsidR="00A85BB5" w14:paraId="444DF919" w14:textId="77777777" w:rsidTr="00403638">
        <w:tc>
          <w:tcPr>
            <w:tcW w:w="1037" w:type="dxa"/>
            <w:vAlign w:val="center"/>
          </w:tcPr>
          <w:p w14:paraId="1C148188" w14:textId="77777777" w:rsidR="00A85BB5" w:rsidRDefault="00A85BB5" w:rsidP="00403638">
            <w:pPr>
              <w:spacing w:before="120" w:after="0" w:line="240" w:lineRule="auto"/>
              <w:jc w:val="center"/>
              <w:rPr>
                <w:rFonts w:ascii="Arial" w:hAnsi="Arial" w:cs="Arial"/>
                <w:b/>
                <w:bCs/>
                <w:sz w:val="20"/>
                <w:szCs w:val="20"/>
              </w:rPr>
            </w:pPr>
          </w:p>
        </w:tc>
        <w:tc>
          <w:tcPr>
            <w:tcW w:w="930" w:type="dxa"/>
            <w:vAlign w:val="center"/>
          </w:tcPr>
          <w:p w14:paraId="59B9F3AE" w14:textId="77777777" w:rsidR="00A85BB5" w:rsidRDefault="00A85BB5" w:rsidP="00403638">
            <w:pPr>
              <w:spacing w:before="120" w:after="0" w:line="240" w:lineRule="auto"/>
              <w:jc w:val="center"/>
              <w:rPr>
                <w:rFonts w:ascii="Arial" w:hAnsi="Arial" w:cs="Arial"/>
                <w:b/>
                <w:bCs/>
                <w:sz w:val="20"/>
                <w:szCs w:val="20"/>
              </w:rPr>
            </w:pPr>
          </w:p>
        </w:tc>
        <w:tc>
          <w:tcPr>
            <w:tcW w:w="976" w:type="dxa"/>
            <w:vAlign w:val="center"/>
          </w:tcPr>
          <w:p w14:paraId="4DC639AB" w14:textId="77777777" w:rsidR="00A85BB5" w:rsidRDefault="00A85BB5" w:rsidP="00403638">
            <w:pPr>
              <w:spacing w:before="120" w:after="0" w:line="240" w:lineRule="auto"/>
              <w:jc w:val="center"/>
              <w:rPr>
                <w:rFonts w:ascii="Arial" w:hAnsi="Arial" w:cs="Arial"/>
                <w:b/>
                <w:bCs/>
                <w:sz w:val="20"/>
                <w:szCs w:val="20"/>
              </w:rPr>
            </w:pPr>
          </w:p>
        </w:tc>
        <w:tc>
          <w:tcPr>
            <w:tcW w:w="959" w:type="dxa"/>
            <w:vAlign w:val="center"/>
          </w:tcPr>
          <w:p w14:paraId="489F3EB2" w14:textId="77777777" w:rsidR="00A85BB5" w:rsidRDefault="00A85BB5" w:rsidP="00403638">
            <w:pPr>
              <w:spacing w:before="120" w:after="0" w:line="240" w:lineRule="auto"/>
              <w:jc w:val="center"/>
              <w:rPr>
                <w:rFonts w:ascii="Arial" w:hAnsi="Arial" w:cs="Arial"/>
                <w:b/>
                <w:bCs/>
                <w:sz w:val="20"/>
                <w:szCs w:val="20"/>
              </w:rPr>
            </w:pPr>
          </w:p>
        </w:tc>
        <w:tc>
          <w:tcPr>
            <w:tcW w:w="897" w:type="dxa"/>
            <w:vAlign w:val="center"/>
          </w:tcPr>
          <w:p w14:paraId="203509E2" w14:textId="77777777" w:rsidR="00A85BB5" w:rsidRDefault="00A85BB5" w:rsidP="00403638">
            <w:pPr>
              <w:spacing w:before="120" w:after="0" w:line="240" w:lineRule="auto"/>
              <w:jc w:val="center"/>
              <w:rPr>
                <w:rFonts w:ascii="Arial" w:hAnsi="Arial" w:cs="Arial"/>
                <w:b/>
                <w:bCs/>
                <w:sz w:val="20"/>
                <w:szCs w:val="20"/>
              </w:rPr>
            </w:pPr>
          </w:p>
        </w:tc>
        <w:tc>
          <w:tcPr>
            <w:tcW w:w="1317" w:type="dxa"/>
            <w:vAlign w:val="center"/>
          </w:tcPr>
          <w:p w14:paraId="2DC8E710" w14:textId="77777777" w:rsidR="00A85BB5" w:rsidRDefault="00A85BB5" w:rsidP="00403638">
            <w:pPr>
              <w:spacing w:before="120" w:after="0" w:line="240" w:lineRule="auto"/>
              <w:jc w:val="center"/>
              <w:rPr>
                <w:rFonts w:ascii="Arial" w:hAnsi="Arial" w:cs="Arial"/>
                <w:b/>
                <w:bCs/>
                <w:sz w:val="20"/>
                <w:szCs w:val="20"/>
              </w:rPr>
            </w:pPr>
            <w:r>
              <w:rPr>
                <w:rFonts w:ascii="Arial" w:hAnsi="Arial" w:cs="Arial" w:hint="cs"/>
                <w:b/>
                <w:bCs/>
                <w:sz w:val="20"/>
                <w:szCs w:val="20"/>
                <w:rtl/>
              </w:rPr>
              <w:t>1</w:t>
            </w:r>
          </w:p>
        </w:tc>
        <w:tc>
          <w:tcPr>
            <w:tcW w:w="1306" w:type="dxa"/>
            <w:vAlign w:val="center"/>
          </w:tcPr>
          <w:p w14:paraId="0F5520FD" w14:textId="77777777" w:rsidR="00A85BB5" w:rsidRDefault="00A85BB5" w:rsidP="00403638">
            <w:pPr>
              <w:spacing w:before="120" w:after="0" w:line="240" w:lineRule="auto"/>
              <w:jc w:val="center"/>
              <w:rPr>
                <w:rFonts w:ascii="Arial" w:hAnsi="Arial" w:cs="Arial"/>
                <w:b/>
                <w:bCs/>
                <w:sz w:val="20"/>
                <w:szCs w:val="20"/>
              </w:rPr>
            </w:pPr>
          </w:p>
        </w:tc>
        <w:tc>
          <w:tcPr>
            <w:tcW w:w="2926" w:type="dxa"/>
          </w:tcPr>
          <w:p w14:paraId="4FDF4B06" w14:textId="77777777"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Remboursement du capital des prêts contractés auprès de la CPSCL</w:t>
            </w:r>
          </w:p>
        </w:tc>
      </w:tr>
      <w:tr w:rsidR="00A85BB5" w14:paraId="1513200B" w14:textId="77777777" w:rsidTr="00403638">
        <w:tc>
          <w:tcPr>
            <w:tcW w:w="1037" w:type="dxa"/>
            <w:vAlign w:val="center"/>
          </w:tcPr>
          <w:p w14:paraId="7E5A1EB4" w14:textId="77777777" w:rsidR="00A85BB5" w:rsidRDefault="00A85BB5" w:rsidP="00403638">
            <w:pPr>
              <w:spacing w:before="120" w:after="0" w:line="240" w:lineRule="auto"/>
              <w:jc w:val="center"/>
              <w:rPr>
                <w:rFonts w:ascii="Arial" w:hAnsi="Arial" w:cs="Arial"/>
                <w:b/>
                <w:bCs/>
                <w:sz w:val="20"/>
                <w:szCs w:val="20"/>
              </w:rPr>
            </w:pPr>
          </w:p>
        </w:tc>
        <w:tc>
          <w:tcPr>
            <w:tcW w:w="930" w:type="dxa"/>
            <w:vAlign w:val="center"/>
          </w:tcPr>
          <w:p w14:paraId="6258CB6F" w14:textId="77777777" w:rsidR="00A85BB5" w:rsidRDefault="00A85BB5" w:rsidP="00403638">
            <w:pPr>
              <w:spacing w:before="120" w:after="0" w:line="240" w:lineRule="auto"/>
              <w:jc w:val="center"/>
              <w:rPr>
                <w:rFonts w:ascii="Arial" w:hAnsi="Arial" w:cs="Arial"/>
                <w:b/>
                <w:bCs/>
                <w:sz w:val="20"/>
                <w:szCs w:val="20"/>
              </w:rPr>
            </w:pPr>
          </w:p>
        </w:tc>
        <w:tc>
          <w:tcPr>
            <w:tcW w:w="976" w:type="dxa"/>
            <w:vAlign w:val="center"/>
          </w:tcPr>
          <w:p w14:paraId="03815ED5" w14:textId="77777777" w:rsidR="00A85BB5" w:rsidRDefault="00A85BB5" w:rsidP="00403638">
            <w:pPr>
              <w:spacing w:before="120" w:after="0" w:line="240" w:lineRule="auto"/>
              <w:jc w:val="center"/>
              <w:rPr>
                <w:rFonts w:ascii="Arial" w:hAnsi="Arial" w:cs="Arial"/>
                <w:b/>
                <w:bCs/>
                <w:sz w:val="20"/>
                <w:szCs w:val="20"/>
              </w:rPr>
            </w:pPr>
          </w:p>
        </w:tc>
        <w:tc>
          <w:tcPr>
            <w:tcW w:w="959" w:type="dxa"/>
            <w:vAlign w:val="center"/>
          </w:tcPr>
          <w:p w14:paraId="151FCE60" w14:textId="77777777" w:rsidR="00A85BB5" w:rsidRDefault="00A85BB5" w:rsidP="00403638">
            <w:pPr>
              <w:spacing w:before="120" w:after="0" w:line="240" w:lineRule="auto"/>
              <w:jc w:val="center"/>
              <w:rPr>
                <w:rFonts w:ascii="Arial" w:hAnsi="Arial" w:cs="Arial"/>
                <w:b/>
                <w:bCs/>
                <w:sz w:val="20"/>
                <w:szCs w:val="20"/>
              </w:rPr>
            </w:pPr>
          </w:p>
        </w:tc>
        <w:tc>
          <w:tcPr>
            <w:tcW w:w="897" w:type="dxa"/>
            <w:vAlign w:val="center"/>
          </w:tcPr>
          <w:p w14:paraId="003CE6CF" w14:textId="77777777" w:rsidR="00A85BB5" w:rsidRDefault="00A85BB5" w:rsidP="00403638">
            <w:pPr>
              <w:spacing w:before="120" w:after="0" w:line="240" w:lineRule="auto"/>
              <w:jc w:val="center"/>
              <w:rPr>
                <w:rFonts w:ascii="Arial" w:hAnsi="Arial" w:cs="Arial"/>
                <w:b/>
                <w:bCs/>
                <w:sz w:val="20"/>
                <w:szCs w:val="20"/>
              </w:rPr>
            </w:pPr>
          </w:p>
        </w:tc>
        <w:tc>
          <w:tcPr>
            <w:tcW w:w="1317" w:type="dxa"/>
            <w:vAlign w:val="center"/>
          </w:tcPr>
          <w:p w14:paraId="3B6F53F0" w14:textId="77777777" w:rsidR="00A85BB5" w:rsidRDefault="00A85BB5" w:rsidP="00403638">
            <w:pPr>
              <w:spacing w:before="120" w:after="0" w:line="240" w:lineRule="auto"/>
              <w:jc w:val="center"/>
              <w:rPr>
                <w:rFonts w:ascii="Arial" w:hAnsi="Arial" w:cs="Arial"/>
                <w:b/>
                <w:bCs/>
                <w:sz w:val="20"/>
                <w:szCs w:val="20"/>
              </w:rPr>
            </w:pPr>
            <w:r>
              <w:rPr>
                <w:rFonts w:ascii="Arial" w:hAnsi="Arial" w:cs="Arial" w:hint="cs"/>
                <w:b/>
                <w:bCs/>
                <w:sz w:val="20"/>
                <w:szCs w:val="20"/>
                <w:rtl/>
              </w:rPr>
              <w:t>2</w:t>
            </w:r>
          </w:p>
        </w:tc>
        <w:tc>
          <w:tcPr>
            <w:tcW w:w="1306" w:type="dxa"/>
            <w:vAlign w:val="center"/>
          </w:tcPr>
          <w:p w14:paraId="38F3F5A2" w14:textId="77777777" w:rsidR="00A85BB5" w:rsidRDefault="00A85BB5" w:rsidP="00403638">
            <w:pPr>
              <w:spacing w:before="120" w:after="0" w:line="240" w:lineRule="auto"/>
              <w:jc w:val="center"/>
              <w:rPr>
                <w:rFonts w:ascii="Arial" w:hAnsi="Arial" w:cs="Arial"/>
                <w:b/>
                <w:bCs/>
                <w:sz w:val="20"/>
                <w:szCs w:val="20"/>
              </w:rPr>
            </w:pPr>
          </w:p>
        </w:tc>
        <w:tc>
          <w:tcPr>
            <w:tcW w:w="2926" w:type="dxa"/>
          </w:tcPr>
          <w:p w14:paraId="022308BE" w14:textId="77777777"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Remboursement du capital des prêts contractés auprès d'autres établissements</w:t>
            </w:r>
          </w:p>
        </w:tc>
      </w:tr>
      <w:tr w:rsidR="00A85BB5" w14:paraId="2420B7C9" w14:textId="77777777" w:rsidTr="00403638">
        <w:tc>
          <w:tcPr>
            <w:tcW w:w="1037" w:type="dxa"/>
            <w:vAlign w:val="center"/>
          </w:tcPr>
          <w:p w14:paraId="19C0F043" w14:textId="77777777" w:rsidR="00A85BB5" w:rsidRDefault="00A85BB5" w:rsidP="00403638">
            <w:pPr>
              <w:spacing w:before="120" w:after="0" w:line="240" w:lineRule="auto"/>
              <w:jc w:val="center"/>
              <w:rPr>
                <w:rFonts w:ascii="Arial" w:hAnsi="Arial" w:cs="Arial"/>
                <w:b/>
                <w:bCs/>
                <w:sz w:val="20"/>
                <w:szCs w:val="20"/>
              </w:rPr>
            </w:pPr>
          </w:p>
        </w:tc>
        <w:tc>
          <w:tcPr>
            <w:tcW w:w="930" w:type="dxa"/>
            <w:vAlign w:val="center"/>
          </w:tcPr>
          <w:p w14:paraId="19CDEF8B" w14:textId="77777777" w:rsidR="00A85BB5" w:rsidRDefault="00A85BB5" w:rsidP="00403638">
            <w:pPr>
              <w:spacing w:before="120" w:after="0" w:line="240" w:lineRule="auto"/>
              <w:jc w:val="center"/>
              <w:rPr>
                <w:rFonts w:ascii="Arial" w:hAnsi="Arial" w:cs="Arial"/>
                <w:b/>
                <w:bCs/>
                <w:sz w:val="20"/>
                <w:szCs w:val="20"/>
              </w:rPr>
            </w:pPr>
          </w:p>
        </w:tc>
        <w:tc>
          <w:tcPr>
            <w:tcW w:w="976" w:type="dxa"/>
            <w:vAlign w:val="center"/>
          </w:tcPr>
          <w:p w14:paraId="0C6B59A0" w14:textId="77777777" w:rsidR="00A85BB5" w:rsidRDefault="00A85BB5" w:rsidP="00403638">
            <w:pPr>
              <w:spacing w:before="120" w:after="0" w:line="240" w:lineRule="auto"/>
              <w:jc w:val="center"/>
              <w:rPr>
                <w:rFonts w:ascii="Arial" w:hAnsi="Arial" w:cs="Arial"/>
                <w:b/>
                <w:bCs/>
                <w:sz w:val="20"/>
                <w:szCs w:val="20"/>
              </w:rPr>
            </w:pPr>
          </w:p>
        </w:tc>
        <w:tc>
          <w:tcPr>
            <w:tcW w:w="959" w:type="dxa"/>
            <w:vAlign w:val="center"/>
          </w:tcPr>
          <w:p w14:paraId="0D5A1676" w14:textId="77777777" w:rsidR="00A85BB5" w:rsidRDefault="00A85BB5" w:rsidP="00403638">
            <w:pPr>
              <w:spacing w:before="120" w:after="0" w:line="240" w:lineRule="auto"/>
              <w:jc w:val="center"/>
              <w:rPr>
                <w:rFonts w:ascii="Arial" w:hAnsi="Arial" w:cs="Arial"/>
                <w:b/>
                <w:bCs/>
                <w:sz w:val="20"/>
                <w:szCs w:val="20"/>
              </w:rPr>
            </w:pPr>
          </w:p>
        </w:tc>
        <w:tc>
          <w:tcPr>
            <w:tcW w:w="897" w:type="dxa"/>
            <w:vAlign w:val="center"/>
          </w:tcPr>
          <w:p w14:paraId="541C5D58" w14:textId="77777777" w:rsidR="00A85BB5" w:rsidRPr="000C5602" w:rsidRDefault="00A85BB5" w:rsidP="00403638">
            <w:pPr>
              <w:spacing w:before="120" w:after="0" w:line="240" w:lineRule="auto"/>
              <w:jc w:val="center"/>
              <w:rPr>
                <w:rFonts w:ascii="Arial" w:hAnsi="Arial" w:cs="Arial"/>
                <w:b/>
                <w:bCs/>
                <w:sz w:val="20"/>
                <w:szCs w:val="20"/>
              </w:rPr>
            </w:pPr>
          </w:p>
        </w:tc>
        <w:tc>
          <w:tcPr>
            <w:tcW w:w="1317" w:type="dxa"/>
            <w:vAlign w:val="center"/>
          </w:tcPr>
          <w:p w14:paraId="5F35E6D0" w14:textId="77777777" w:rsidR="00A85BB5" w:rsidRDefault="00A85BB5" w:rsidP="00403638">
            <w:pPr>
              <w:spacing w:before="120" w:after="0" w:line="240" w:lineRule="auto"/>
              <w:jc w:val="center"/>
              <w:rPr>
                <w:rFonts w:ascii="Arial" w:hAnsi="Arial" w:cs="Arial"/>
                <w:b/>
                <w:bCs/>
                <w:sz w:val="20"/>
                <w:szCs w:val="20"/>
              </w:rPr>
            </w:pPr>
            <w:r>
              <w:rPr>
                <w:rFonts w:ascii="Arial" w:hAnsi="Arial" w:cs="Arial" w:hint="cs"/>
                <w:b/>
                <w:bCs/>
                <w:sz w:val="20"/>
                <w:szCs w:val="20"/>
                <w:rtl/>
              </w:rPr>
              <w:t>3</w:t>
            </w:r>
          </w:p>
        </w:tc>
        <w:tc>
          <w:tcPr>
            <w:tcW w:w="1306" w:type="dxa"/>
            <w:vAlign w:val="center"/>
          </w:tcPr>
          <w:p w14:paraId="31E49E58" w14:textId="77777777" w:rsidR="00A85BB5" w:rsidRDefault="00A85BB5" w:rsidP="00403638">
            <w:pPr>
              <w:spacing w:before="120" w:after="0" w:line="240" w:lineRule="auto"/>
              <w:jc w:val="center"/>
              <w:rPr>
                <w:rFonts w:ascii="Arial" w:hAnsi="Arial" w:cs="Arial"/>
                <w:b/>
                <w:bCs/>
                <w:sz w:val="20"/>
                <w:szCs w:val="20"/>
              </w:rPr>
            </w:pPr>
          </w:p>
        </w:tc>
        <w:tc>
          <w:tcPr>
            <w:tcW w:w="2926" w:type="dxa"/>
          </w:tcPr>
          <w:p w14:paraId="2A9B5536" w14:textId="77777777"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Remboursement du capital des prêts contractés auprès du trésor public</w:t>
            </w:r>
          </w:p>
        </w:tc>
      </w:tr>
      <w:tr w:rsidR="00A85BB5" w14:paraId="4F7FA073" w14:textId="77777777" w:rsidTr="00403638">
        <w:tc>
          <w:tcPr>
            <w:tcW w:w="1037" w:type="dxa"/>
            <w:vAlign w:val="center"/>
          </w:tcPr>
          <w:p w14:paraId="16375238" w14:textId="77777777" w:rsidR="00A85BB5" w:rsidRDefault="00A85BB5" w:rsidP="00403638">
            <w:pPr>
              <w:spacing w:before="120" w:after="0" w:line="240" w:lineRule="auto"/>
              <w:jc w:val="center"/>
              <w:rPr>
                <w:rFonts w:ascii="Arial" w:hAnsi="Arial" w:cs="Arial"/>
                <w:b/>
                <w:bCs/>
                <w:sz w:val="20"/>
                <w:szCs w:val="20"/>
              </w:rPr>
            </w:pPr>
          </w:p>
        </w:tc>
        <w:tc>
          <w:tcPr>
            <w:tcW w:w="930" w:type="dxa"/>
            <w:vAlign w:val="center"/>
          </w:tcPr>
          <w:p w14:paraId="6359EAA9" w14:textId="77777777" w:rsidR="00A85BB5" w:rsidRDefault="00A85BB5" w:rsidP="00403638">
            <w:pPr>
              <w:spacing w:before="120" w:after="0" w:line="240" w:lineRule="auto"/>
              <w:jc w:val="center"/>
              <w:rPr>
                <w:rFonts w:ascii="Arial" w:hAnsi="Arial" w:cs="Arial"/>
                <w:b/>
                <w:bCs/>
                <w:sz w:val="20"/>
                <w:szCs w:val="20"/>
              </w:rPr>
            </w:pPr>
          </w:p>
        </w:tc>
        <w:tc>
          <w:tcPr>
            <w:tcW w:w="976" w:type="dxa"/>
            <w:vAlign w:val="center"/>
          </w:tcPr>
          <w:p w14:paraId="0B8C37B4" w14:textId="77777777" w:rsidR="00A85BB5" w:rsidRDefault="00A85BB5" w:rsidP="00403638">
            <w:pPr>
              <w:spacing w:before="120" w:after="0" w:line="240" w:lineRule="auto"/>
              <w:jc w:val="center"/>
              <w:rPr>
                <w:rFonts w:ascii="Arial" w:hAnsi="Arial" w:cs="Arial"/>
                <w:b/>
                <w:bCs/>
                <w:sz w:val="20"/>
                <w:szCs w:val="20"/>
              </w:rPr>
            </w:pPr>
          </w:p>
        </w:tc>
        <w:tc>
          <w:tcPr>
            <w:tcW w:w="959" w:type="dxa"/>
            <w:vAlign w:val="center"/>
          </w:tcPr>
          <w:p w14:paraId="1D41B3DB" w14:textId="77777777" w:rsidR="00A85BB5" w:rsidRDefault="00A85BB5" w:rsidP="00403638">
            <w:pPr>
              <w:spacing w:before="120" w:after="0" w:line="240" w:lineRule="auto"/>
              <w:jc w:val="center"/>
              <w:rPr>
                <w:rFonts w:ascii="Arial" w:hAnsi="Arial" w:cs="Arial"/>
                <w:b/>
                <w:bCs/>
                <w:sz w:val="20"/>
                <w:szCs w:val="20"/>
              </w:rPr>
            </w:pPr>
          </w:p>
        </w:tc>
        <w:tc>
          <w:tcPr>
            <w:tcW w:w="897" w:type="dxa"/>
            <w:vAlign w:val="center"/>
          </w:tcPr>
          <w:p w14:paraId="7C9DACA0" w14:textId="77777777" w:rsidR="00A85BB5" w:rsidRDefault="00A85BB5" w:rsidP="00403638">
            <w:pPr>
              <w:spacing w:before="120" w:after="0" w:line="240" w:lineRule="auto"/>
              <w:jc w:val="center"/>
              <w:rPr>
                <w:rFonts w:ascii="Arial" w:hAnsi="Arial" w:cs="Arial"/>
                <w:b/>
                <w:bCs/>
                <w:sz w:val="20"/>
                <w:szCs w:val="20"/>
              </w:rPr>
            </w:pPr>
            <w:r>
              <w:rPr>
                <w:rFonts w:ascii="Arial" w:hAnsi="Arial" w:cs="Arial" w:hint="cs"/>
                <w:b/>
                <w:bCs/>
                <w:sz w:val="20"/>
                <w:szCs w:val="20"/>
                <w:rtl/>
              </w:rPr>
              <w:t>10.951</w:t>
            </w:r>
          </w:p>
        </w:tc>
        <w:tc>
          <w:tcPr>
            <w:tcW w:w="1317" w:type="dxa"/>
            <w:vAlign w:val="center"/>
          </w:tcPr>
          <w:p w14:paraId="47F46EAF" w14:textId="77777777" w:rsidR="00A85BB5" w:rsidRDefault="00A85BB5" w:rsidP="00403638">
            <w:pPr>
              <w:spacing w:before="120" w:after="0" w:line="240" w:lineRule="auto"/>
              <w:jc w:val="center"/>
              <w:rPr>
                <w:rFonts w:ascii="Arial" w:hAnsi="Arial" w:cs="Arial"/>
                <w:b/>
                <w:bCs/>
                <w:sz w:val="20"/>
                <w:szCs w:val="20"/>
              </w:rPr>
            </w:pPr>
          </w:p>
        </w:tc>
        <w:tc>
          <w:tcPr>
            <w:tcW w:w="1306" w:type="dxa"/>
            <w:vAlign w:val="center"/>
          </w:tcPr>
          <w:p w14:paraId="07471375" w14:textId="77777777" w:rsidR="00A85BB5" w:rsidRDefault="00A85BB5" w:rsidP="00403638">
            <w:pPr>
              <w:spacing w:before="120" w:after="0" w:line="240" w:lineRule="auto"/>
              <w:jc w:val="center"/>
              <w:rPr>
                <w:rFonts w:ascii="Arial" w:hAnsi="Arial" w:cs="Arial"/>
                <w:b/>
                <w:bCs/>
                <w:sz w:val="20"/>
                <w:szCs w:val="20"/>
              </w:rPr>
            </w:pPr>
          </w:p>
        </w:tc>
        <w:tc>
          <w:tcPr>
            <w:tcW w:w="2926" w:type="dxa"/>
          </w:tcPr>
          <w:p w14:paraId="4CC227D9" w14:textId="77777777"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Remboursement du capital de la dette extérieure</w:t>
            </w:r>
          </w:p>
        </w:tc>
      </w:tr>
      <w:tr w:rsidR="00A85BB5" w14:paraId="0FA5589E" w14:textId="77777777" w:rsidTr="00403638">
        <w:tc>
          <w:tcPr>
            <w:tcW w:w="1037" w:type="dxa"/>
            <w:vAlign w:val="center"/>
          </w:tcPr>
          <w:p w14:paraId="6E3B35D7" w14:textId="77777777" w:rsidR="00A85BB5" w:rsidRDefault="00A85BB5" w:rsidP="00403638">
            <w:pPr>
              <w:spacing w:before="120" w:after="0" w:line="240" w:lineRule="auto"/>
              <w:jc w:val="center"/>
              <w:rPr>
                <w:rFonts w:ascii="Arial" w:hAnsi="Arial" w:cs="Arial"/>
                <w:b/>
                <w:bCs/>
                <w:sz w:val="20"/>
                <w:szCs w:val="20"/>
              </w:rPr>
            </w:pPr>
          </w:p>
        </w:tc>
        <w:tc>
          <w:tcPr>
            <w:tcW w:w="930" w:type="dxa"/>
            <w:vAlign w:val="center"/>
          </w:tcPr>
          <w:p w14:paraId="708D5FAE" w14:textId="77777777" w:rsidR="00A85BB5" w:rsidRDefault="00A85BB5" w:rsidP="00403638">
            <w:pPr>
              <w:spacing w:before="120" w:after="0" w:line="240" w:lineRule="auto"/>
              <w:jc w:val="center"/>
              <w:rPr>
                <w:rFonts w:ascii="Arial" w:hAnsi="Arial" w:cs="Arial"/>
                <w:b/>
                <w:bCs/>
                <w:sz w:val="20"/>
                <w:szCs w:val="20"/>
              </w:rPr>
            </w:pPr>
          </w:p>
        </w:tc>
        <w:tc>
          <w:tcPr>
            <w:tcW w:w="976" w:type="dxa"/>
            <w:vAlign w:val="center"/>
          </w:tcPr>
          <w:p w14:paraId="7A9C89AC" w14:textId="77777777" w:rsidR="00A85BB5" w:rsidRDefault="00A85BB5" w:rsidP="00403638">
            <w:pPr>
              <w:spacing w:before="120" w:after="0" w:line="240" w:lineRule="auto"/>
              <w:jc w:val="center"/>
              <w:rPr>
                <w:rFonts w:ascii="Arial" w:hAnsi="Arial" w:cs="Arial"/>
                <w:b/>
                <w:bCs/>
                <w:sz w:val="20"/>
                <w:szCs w:val="20"/>
              </w:rPr>
            </w:pPr>
          </w:p>
        </w:tc>
        <w:tc>
          <w:tcPr>
            <w:tcW w:w="959" w:type="dxa"/>
            <w:vAlign w:val="center"/>
          </w:tcPr>
          <w:p w14:paraId="625A883D" w14:textId="77777777" w:rsidR="00A85BB5" w:rsidRDefault="00A85BB5" w:rsidP="00403638">
            <w:pPr>
              <w:spacing w:before="120" w:after="0" w:line="240" w:lineRule="auto"/>
              <w:jc w:val="center"/>
              <w:rPr>
                <w:rFonts w:ascii="Arial" w:hAnsi="Arial" w:cs="Arial"/>
                <w:b/>
                <w:bCs/>
                <w:sz w:val="20"/>
                <w:szCs w:val="20"/>
              </w:rPr>
            </w:pPr>
          </w:p>
        </w:tc>
        <w:tc>
          <w:tcPr>
            <w:tcW w:w="897" w:type="dxa"/>
            <w:vAlign w:val="center"/>
          </w:tcPr>
          <w:p w14:paraId="462976A2" w14:textId="77777777" w:rsidR="00A85BB5" w:rsidRDefault="00A85BB5" w:rsidP="00403638">
            <w:pPr>
              <w:spacing w:before="120" w:after="0" w:line="240" w:lineRule="auto"/>
              <w:jc w:val="center"/>
              <w:rPr>
                <w:rFonts w:ascii="Arial" w:hAnsi="Arial" w:cs="Arial"/>
                <w:b/>
                <w:bCs/>
                <w:sz w:val="20"/>
                <w:szCs w:val="20"/>
              </w:rPr>
            </w:pPr>
          </w:p>
        </w:tc>
        <w:tc>
          <w:tcPr>
            <w:tcW w:w="1317" w:type="dxa"/>
            <w:vAlign w:val="center"/>
          </w:tcPr>
          <w:p w14:paraId="3FB902F6" w14:textId="77777777" w:rsidR="00A85BB5" w:rsidRDefault="00A85BB5" w:rsidP="00403638">
            <w:pPr>
              <w:spacing w:before="120" w:after="0" w:line="240" w:lineRule="auto"/>
              <w:jc w:val="center"/>
              <w:rPr>
                <w:rFonts w:ascii="Arial" w:hAnsi="Arial" w:cs="Arial"/>
                <w:b/>
                <w:bCs/>
                <w:sz w:val="20"/>
                <w:szCs w:val="20"/>
              </w:rPr>
            </w:pPr>
            <w:r>
              <w:rPr>
                <w:rFonts w:ascii="Arial" w:hAnsi="Arial" w:cs="Arial" w:hint="cs"/>
                <w:b/>
                <w:bCs/>
                <w:sz w:val="20"/>
                <w:szCs w:val="20"/>
                <w:rtl/>
              </w:rPr>
              <w:t>1</w:t>
            </w:r>
          </w:p>
        </w:tc>
        <w:tc>
          <w:tcPr>
            <w:tcW w:w="1306" w:type="dxa"/>
            <w:vAlign w:val="center"/>
          </w:tcPr>
          <w:p w14:paraId="37B3769A" w14:textId="77777777" w:rsidR="00A85BB5" w:rsidRDefault="00A85BB5" w:rsidP="00403638">
            <w:pPr>
              <w:spacing w:before="120" w:after="0" w:line="240" w:lineRule="auto"/>
              <w:jc w:val="center"/>
              <w:rPr>
                <w:rFonts w:ascii="Arial" w:hAnsi="Arial" w:cs="Arial"/>
                <w:b/>
                <w:bCs/>
                <w:sz w:val="20"/>
                <w:szCs w:val="20"/>
              </w:rPr>
            </w:pPr>
          </w:p>
        </w:tc>
        <w:tc>
          <w:tcPr>
            <w:tcW w:w="2926" w:type="dxa"/>
          </w:tcPr>
          <w:p w14:paraId="7AD9C69C" w14:textId="77777777"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Remboursement du capital des prêts extérieurs</w:t>
            </w:r>
          </w:p>
        </w:tc>
      </w:tr>
      <w:tr w:rsidR="00A85BB5" w14:paraId="324593A7" w14:textId="77777777" w:rsidTr="00403638">
        <w:tc>
          <w:tcPr>
            <w:tcW w:w="1037" w:type="dxa"/>
            <w:vAlign w:val="center"/>
          </w:tcPr>
          <w:p w14:paraId="5545684F" w14:textId="77777777" w:rsidR="00A85BB5" w:rsidRDefault="00A85BB5" w:rsidP="00403638">
            <w:pPr>
              <w:spacing w:before="120" w:after="0" w:line="240" w:lineRule="auto"/>
              <w:jc w:val="center"/>
              <w:rPr>
                <w:rFonts w:ascii="Arial" w:hAnsi="Arial" w:cs="Arial"/>
                <w:b/>
                <w:bCs/>
                <w:sz w:val="20"/>
                <w:szCs w:val="20"/>
              </w:rPr>
            </w:pPr>
          </w:p>
        </w:tc>
        <w:tc>
          <w:tcPr>
            <w:tcW w:w="930" w:type="dxa"/>
            <w:vAlign w:val="center"/>
          </w:tcPr>
          <w:p w14:paraId="62BF8067" w14:textId="77777777" w:rsidR="00A85BB5" w:rsidRDefault="00A85BB5" w:rsidP="00403638">
            <w:pPr>
              <w:spacing w:before="120" w:after="0" w:line="240" w:lineRule="auto"/>
              <w:jc w:val="center"/>
              <w:rPr>
                <w:rFonts w:ascii="Arial" w:hAnsi="Arial" w:cs="Arial"/>
                <w:b/>
                <w:bCs/>
                <w:sz w:val="20"/>
                <w:szCs w:val="20"/>
              </w:rPr>
            </w:pPr>
          </w:p>
        </w:tc>
        <w:tc>
          <w:tcPr>
            <w:tcW w:w="976" w:type="dxa"/>
            <w:vAlign w:val="center"/>
          </w:tcPr>
          <w:p w14:paraId="67ADEA39" w14:textId="77777777" w:rsidR="00A85BB5" w:rsidRDefault="00A85BB5" w:rsidP="00403638">
            <w:pPr>
              <w:spacing w:before="120" w:after="0" w:line="240" w:lineRule="auto"/>
              <w:jc w:val="center"/>
              <w:rPr>
                <w:rFonts w:ascii="Arial" w:hAnsi="Arial" w:cs="Arial"/>
                <w:b/>
                <w:bCs/>
                <w:sz w:val="20"/>
                <w:szCs w:val="20"/>
              </w:rPr>
            </w:pPr>
          </w:p>
        </w:tc>
        <w:tc>
          <w:tcPr>
            <w:tcW w:w="959" w:type="dxa"/>
            <w:vAlign w:val="center"/>
          </w:tcPr>
          <w:p w14:paraId="15FF81BF" w14:textId="77777777" w:rsidR="00A85BB5" w:rsidRDefault="00A85BB5" w:rsidP="00403638">
            <w:pPr>
              <w:spacing w:before="120" w:after="0" w:line="240" w:lineRule="auto"/>
              <w:jc w:val="center"/>
              <w:rPr>
                <w:rFonts w:ascii="Arial" w:hAnsi="Arial" w:cs="Arial"/>
                <w:b/>
                <w:bCs/>
                <w:sz w:val="20"/>
                <w:szCs w:val="20"/>
              </w:rPr>
            </w:pPr>
          </w:p>
        </w:tc>
        <w:tc>
          <w:tcPr>
            <w:tcW w:w="897" w:type="dxa"/>
            <w:vAlign w:val="center"/>
          </w:tcPr>
          <w:p w14:paraId="06214B97" w14:textId="77777777" w:rsidR="00A85BB5" w:rsidRDefault="00A85BB5" w:rsidP="00403638">
            <w:pPr>
              <w:spacing w:before="120" w:after="0" w:line="240" w:lineRule="auto"/>
              <w:jc w:val="center"/>
              <w:rPr>
                <w:rFonts w:ascii="Arial" w:hAnsi="Arial" w:cs="Arial"/>
                <w:b/>
                <w:bCs/>
                <w:sz w:val="20"/>
                <w:szCs w:val="20"/>
              </w:rPr>
            </w:pPr>
          </w:p>
        </w:tc>
        <w:tc>
          <w:tcPr>
            <w:tcW w:w="1317" w:type="dxa"/>
            <w:vAlign w:val="center"/>
          </w:tcPr>
          <w:p w14:paraId="465D931B" w14:textId="77777777" w:rsidR="00A85BB5" w:rsidRDefault="00A85BB5" w:rsidP="00403638">
            <w:pPr>
              <w:spacing w:before="120" w:after="0" w:line="240" w:lineRule="auto"/>
              <w:jc w:val="center"/>
              <w:rPr>
                <w:rFonts w:ascii="Arial" w:hAnsi="Arial" w:cs="Arial"/>
                <w:b/>
                <w:bCs/>
                <w:sz w:val="20"/>
                <w:szCs w:val="20"/>
              </w:rPr>
            </w:pPr>
            <w:r>
              <w:rPr>
                <w:rFonts w:ascii="Arial" w:hAnsi="Arial" w:cs="Arial" w:hint="cs"/>
                <w:b/>
                <w:bCs/>
                <w:sz w:val="20"/>
                <w:szCs w:val="20"/>
                <w:rtl/>
              </w:rPr>
              <w:t>2</w:t>
            </w:r>
          </w:p>
        </w:tc>
        <w:tc>
          <w:tcPr>
            <w:tcW w:w="1306" w:type="dxa"/>
            <w:vAlign w:val="center"/>
          </w:tcPr>
          <w:p w14:paraId="0EE155F1" w14:textId="77777777" w:rsidR="00A85BB5" w:rsidRDefault="00A85BB5" w:rsidP="00403638">
            <w:pPr>
              <w:spacing w:before="120" w:after="0" w:line="240" w:lineRule="auto"/>
              <w:jc w:val="center"/>
              <w:rPr>
                <w:rFonts w:ascii="Arial" w:hAnsi="Arial" w:cs="Arial"/>
                <w:b/>
                <w:bCs/>
                <w:sz w:val="20"/>
                <w:szCs w:val="20"/>
              </w:rPr>
            </w:pPr>
          </w:p>
        </w:tc>
        <w:tc>
          <w:tcPr>
            <w:tcW w:w="2926" w:type="dxa"/>
          </w:tcPr>
          <w:p w14:paraId="75AABDF0" w14:textId="77777777" w:rsidR="00A85BB5" w:rsidRPr="002A77FD" w:rsidRDefault="00A85BB5" w:rsidP="00403638">
            <w:pPr>
              <w:spacing w:before="120" w:after="0" w:line="240" w:lineRule="auto"/>
              <w:jc w:val="both"/>
              <w:rPr>
                <w:rFonts w:ascii="Arial" w:hAnsi="Arial" w:cs="Arial"/>
                <w:sz w:val="20"/>
                <w:szCs w:val="20"/>
              </w:rPr>
            </w:pPr>
            <w:r w:rsidRPr="002A77FD">
              <w:rPr>
                <w:rFonts w:ascii="Arial" w:hAnsi="Arial" w:cs="Arial"/>
                <w:sz w:val="20"/>
                <w:szCs w:val="20"/>
              </w:rPr>
              <w:t>Remboursement du capital des prêts extérieurs affectés</w:t>
            </w:r>
          </w:p>
        </w:tc>
      </w:tr>
    </w:tbl>
    <w:p w14:paraId="323E4410" w14:textId="77777777" w:rsidR="00A85BB5" w:rsidRPr="00C25185" w:rsidRDefault="00A85BB5" w:rsidP="00A85BB5">
      <w:pPr>
        <w:spacing w:before="120" w:after="0" w:line="240" w:lineRule="auto"/>
        <w:ind w:left="284"/>
        <w:jc w:val="both"/>
        <w:rPr>
          <w:rFonts w:ascii="Arial" w:hAnsi="Arial" w:cs="Arial"/>
          <w:b/>
          <w:bCs/>
          <w:sz w:val="20"/>
          <w:szCs w:val="20"/>
        </w:rPr>
      </w:pPr>
    </w:p>
    <w:p w14:paraId="19C5DDDA" w14:textId="77777777" w:rsidR="00A85BB5" w:rsidRPr="00425D5A" w:rsidRDefault="00A85BB5" w:rsidP="00A85BB5">
      <w:pPr>
        <w:spacing w:before="120" w:after="0" w:line="240" w:lineRule="auto"/>
        <w:ind w:left="284"/>
        <w:jc w:val="both"/>
        <w:rPr>
          <w:rFonts w:ascii="Arial" w:hAnsi="Arial" w:cs="Arial"/>
          <w:sz w:val="20"/>
          <w:szCs w:val="20"/>
        </w:rPr>
      </w:pPr>
    </w:p>
    <w:p w14:paraId="56DCA4F9" w14:textId="77777777" w:rsidR="00A85BB5" w:rsidRPr="00425D5A" w:rsidRDefault="00A85BB5" w:rsidP="00A85BB5">
      <w:pPr>
        <w:spacing w:before="120" w:after="0" w:line="240" w:lineRule="auto"/>
        <w:ind w:left="284"/>
        <w:jc w:val="both"/>
        <w:rPr>
          <w:rFonts w:ascii="Arial" w:hAnsi="Arial" w:cs="Arial"/>
          <w:sz w:val="20"/>
          <w:szCs w:val="20"/>
        </w:rPr>
      </w:pPr>
    </w:p>
    <w:p w14:paraId="075F3C95" w14:textId="77777777" w:rsidR="00A85BB5" w:rsidRPr="00D07FE9" w:rsidRDefault="00A85BB5" w:rsidP="00D07FE9">
      <w:pPr>
        <w:spacing w:before="120" w:after="0"/>
        <w:ind w:left="283"/>
        <w:jc w:val="both"/>
        <w:rPr>
          <w:b/>
          <w:bCs/>
          <w:sz w:val="18"/>
          <w:szCs w:val="18"/>
        </w:rPr>
      </w:pPr>
    </w:p>
    <w:sectPr w:rsidR="00A85BB5" w:rsidRPr="00D07FE9"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C0FAE" w14:textId="77777777" w:rsidR="00814A2E" w:rsidRDefault="00814A2E" w:rsidP="008F3F2D">
      <w:r>
        <w:separator/>
      </w:r>
    </w:p>
  </w:endnote>
  <w:endnote w:type="continuationSeparator" w:id="0">
    <w:p w14:paraId="4D67BB83" w14:textId="77777777" w:rsidR="00814A2E" w:rsidRDefault="00814A2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D264C" w14:textId="77777777" w:rsidR="00814A2E" w:rsidRDefault="00814A2E" w:rsidP="008F3F2D">
      <w:r>
        <w:separator/>
      </w:r>
    </w:p>
  </w:footnote>
  <w:footnote w:type="continuationSeparator" w:id="0">
    <w:p w14:paraId="04105C1E" w14:textId="77777777" w:rsidR="00814A2E" w:rsidRDefault="00814A2E" w:rsidP="008F3F2D">
      <w:r>
        <w:continuationSeparator/>
      </w:r>
    </w:p>
  </w:footnote>
  <w:footnote w:id="1">
    <w:p w14:paraId="6CD91972" w14:textId="7B62F120" w:rsidR="00A85BB5" w:rsidRDefault="00A85BB5">
      <w:pPr>
        <w:pStyle w:val="Notedebasdepage"/>
      </w:pPr>
      <w:r>
        <w:rPr>
          <w:rStyle w:val="Appelnotedebasdep"/>
        </w:rPr>
        <w:footnoteRef/>
      </w:r>
      <w:r>
        <w:t xml:space="preserve"> Le </w:t>
      </w:r>
      <w:r w:rsidRPr="00A85BB5">
        <w:t>modèle de la nomenclature budgétaire des communes</w:t>
      </w:r>
      <w:r>
        <w:t xml:space="preserve"> est modifié par le </w:t>
      </w:r>
      <w:hyperlink r:id="rId1" w:history="1">
        <w:r w:rsidRPr="00A85BB5">
          <w:rPr>
            <w:rStyle w:val="Lienhypertexte"/>
          </w:rPr>
          <w:t>décret</w:t>
        </w:r>
      </w:hyperlink>
      <w:r>
        <w:t xml:space="preserve"> gouvernemental n° 2020-439 du 14 juin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7C4"/>
    <w:multiLevelType w:val="hybridMultilevel"/>
    <w:tmpl w:val="DF008E96"/>
    <w:lvl w:ilvl="0" w:tplc="D58E52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2AB3"/>
    <w:multiLevelType w:val="hybridMultilevel"/>
    <w:tmpl w:val="AE1007B0"/>
    <w:lvl w:ilvl="0" w:tplc="BE042902">
      <w:start w:val="3"/>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9F47F23"/>
    <w:multiLevelType w:val="hybridMultilevel"/>
    <w:tmpl w:val="D5025B7E"/>
    <w:lvl w:ilvl="0" w:tplc="210C42DE">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25992"/>
    <w:multiLevelType w:val="hybridMultilevel"/>
    <w:tmpl w:val="1C1E337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D55294B"/>
    <w:multiLevelType w:val="hybridMultilevel"/>
    <w:tmpl w:val="C9BA919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E0785B"/>
    <w:multiLevelType w:val="hybridMultilevel"/>
    <w:tmpl w:val="3E1ADD9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EB37991"/>
    <w:multiLevelType w:val="hybridMultilevel"/>
    <w:tmpl w:val="EE1A20B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5347312"/>
    <w:multiLevelType w:val="hybridMultilevel"/>
    <w:tmpl w:val="950683D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2E5A6781"/>
    <w:multiLevelType w:val="hybridMultilevel"/>
    <w:tmpl w:val="026C5CD6"/>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33660B14"/>
    <w:multiLevelType w:val="hybridMultilevel"/>
    <w:tmpl w:val="50C884C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63F4C30"/>
    <w:multiLevelType w:val="hybridMultilevel"/>
    <w:tmpl w:val="235033D8"/>
    <w:lvl w:ilvl="0" w:tplc="E16A22EC">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41453995"/>
    <w:multiLevelType w:val="hybridMultilevel"/>
    <w:tmpl w:val="6864286A"/>
    <w:lvl w:ilvl="0" w:tplc="9B9672D8">
      <w:start w:val="7"/>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4CC31F8C"/>
    <w:multiLevelType w:val="hybridMultilevel"/>
    <w:tmpl w:val="0488570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53D67EA3"/>
    <w:multiLevelType w:val="hybridMultilevel"/>
    <w:tmpl w:val="FF6698D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48B15DE"/>
    <w:multiLevelType w:val="hybridMultilevel"/>
    <w:tmpl w:val="41A4AF62"/>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621874E3"/>
    <w:multiLevelType w:val="hybridMultilevel"/>
    <w:tmpl w:val="0992A9DE"/>
    <w:lvl w:ilvl="0" w:tplc="040C000F">
      <w:start w:val="1"/>
      <w:numFmt w:val="decimal"/>
      <w:lvlText w:val="%1."/>
      <w:lvlJc w:val="left"/>
      <w:pPr>
        <w:ind w:left="644" w:hanging="360"/>
      </w:pPr>
      <w:rPr>
        <w:rFonts w:hint="default"/>
      </w:rPr>
    </w:lvl>
    <w:lvl w:ilvl="1" w:tplc="30B87B3A">
      <w:start w:val="1"/>
      <w:numFmt w:val="decimal"/>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64473947"/>
    <w:multiLevelType w:val="hybridMultilevel"/>
    <w:tmpl w:val="5464013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64944AAF"/>
    <w:multiLevelType w:val="hybridMultilevel"/>
    <w:tmpl w:val="BCD01BD4"/>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70A66F23"/>
    <w:multiLevelType w:val="hybridMultilevel"/>
    <w:tmpl w:val="D6C878CA"/>
    <w:lvl w:ilvl="0" w:tplc="1B7827E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74151A79"/>
    <w:multiLevelType w:val="hybridMultilevel"/>
    <w:tmpl w:val="091A95A0"/>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98FCAB58">
      <w:start w:val="7"/>
      <w:numFmt w:val="bullet"/>
      <w:lvlText w:val="-"/>
      <w:lvlJc w:val="left"/>
      <w:pPr>
        <w:ind w:left="2624" w:hanging="360"/>
      </w:pPr>
      <w:rPr>
        <w:rFonts w:ascii="Arial" w:eastAsiaTheme="minorEastAsia" w:hAnsi="Arial" w:cs="Arial"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764B6030"/>
    <w:multiLevelType w:val="hybridMultilevel"/>
    <w:tmpl w:val="93D24C4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73B6C42"/>
    <w:multiLevelType w:val="hybridMultilevel"/>
    <w:tmpl w:val="87D20B56"/>
    <w:lvl w:ilvl="0" w:tplc="8862ABF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7B2A4CE7"/>
    <w:multiLevelType w:val="hybridMultilevel"/>
    <w:tmpl w:val="22BE283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7D4E7E0D"/>
    <w:multiLevelType w:val="hybridMultilevel"/>
    <w:tmpl w:val="0C72F60A"/>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7EC34D6F"/>
    <w:multiLevelType w:val="hybridMultilevel"/>
    <w:tmpl w:val="DD3AA8F8"/>
    <w:lvl w:ilvl="0" w:tplc="040C000F">
      <w:start w:val="1"/>
      <w:numFmt w:val="decimal"/>
      <w:lvlText w:val="%1."/>
      <w:lvlJc w:val="left"/>
      <w:pPr>
        <w:ind w:left="1724" w:hanging="360"/>
      </w:p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5" w15:restartNumberingAfterBreak="0">
    <w:nsid w:val="7EC4667D"/>
    <w:multiLevelType w:val="hybridMultilevel"/>
    <w:tmpl w:val="1826A852"/>
    <w:lvl w:ilvl="0" w:tplc="954614A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7F675AC0"/>
    <w:multiLevelType w:val="hybridMultilevel"/>
    <w:tmpl w:val="72DCBF50"/>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0"/>
  </w:num>
  <w:num w:numId="2">
    <w:abstractNumId w:val="2"/>
  </w:num>
  <w:num w:numId="3">
    <w:abstractNumId w:val="22"/>
  </w:num>
  <w:num w:numId="4">
    <w:abstractNumId w:val="25"/>
  </w:num>
  <w:num w:numId="5">
    <w:abstractNumId w:val="9"/>
  </w:num>
  <w:num w:numId="6">
    <w:abstractNumId w:val="21"/>
  </w:num>
  <w:num w:numId="7">
    <w:abstractNumId w:val="15"/>
  </w:num>
  <w:num w:numId="8">
    <w:abstractNumId w:val="5"/>
  </w:num>
  <w:num w:numId="9">
    <w:abstractNumId w:val="18"/>
  </w:num>
  <w:num w:numId="10">
    <w:abstractNumId w:val="3"/>
  </w:num>
  <w:num w:numId="11">
    <w:abstractNumId w:val="1"/>
  </w:num>
  <w:num w:numId="12">
    <w:abstractNumId w:val="26"/>
  </w:num>
  <w:num w:numId="13">
    <w:abstractNumId w:val="24"/>
  </w:num>
  <w:num w:numId="14">
    <w:abstractNumId w:val="17"/>
  </w:num>
  <w:num w:numId="15">
    <w:abstractNumId w:val="19"/>
  </w:num>
  <w:num w:numId="16">
    <w:abstractNumId w:val="6"/>
  </w:num>
  <w:num w:numId="17">
    <w:abstractNumId w:val="10"/>
  </w:num>
  <w:num w:numId="18">
    <w:abstractNumId w:val="4"/>
  </w:num>
  <w:num w:numId="19">
    <w:abstractNumId w:val="11"/>
  </w:num>
  <w:num w:numId="20">
    <w:abstractNumId w:val="20"/>
  </w:num>
  <w:num w:numId="21">
    <w:abstractNumId w:val="12"/>
  </w:num>
  <w:num w:numId="22">
    <w:abstractNumId w:val="8"/>
  </w:num>
  <w:num w:numId="23">
    <w:abstractNumId w:val="14"/>
  </w:num>
  <w:num w:numId="24">
    <w:abstractNumId w:val="7"/>
  </w:num>
  <w:num w:numId="25">
    <w:abstractNumId w:val="23"/>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96DF4"/>
    <w:rsid w:val="001A535F"/>
    <w:rsid w:val="001B250B"/>
    <w:rsid w:val="001B4835"/>
    <w:rsid w:val="001C2C12"/>
    <w:rsid w:val="001D09A6"/>
    <w:rsid w:val="001E10BA"/>
    <w:rsid w:val="001E5DD5"/>
    <w:rsid w:val="001E6787"/>
    <w:rsid w:val="001E75EF"/>
    <w:rsid w:val="001F6FB9"/>
    <w:rsid w:val="0020398F"/>
    <w:rsid w:val="00206E24"/>
    <w:rsid w:val="00207589"/>
    <w:rsid w:val="0021089C"/>
    <w:rsid w:val="00215EF7"/>
    <w:rsid w:val="002429CE"/>
    <w:rsid w:val="002454C0"/>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13360"/>
    <w:rsid w:val="0041715F"/>
    <w:rsid w:val="0042092A"/>
    <w:rsid w:val="00436C7E"/>
    <w:rsid w:val="004402D7"/>
    <w:rsid w:val="004808F1"/>
    <w:rsid w:val="00481528"/>
    <w:rsid w:val="004977E0"/>
    <w:rsid w:val="004A6E4A"/>
    <w:rsid w:val="004D5CA0"/>
    <w:rsid w:val="004E246D"/>
    <w:rsid w:val="004E2CD2"/>
    <w:rsid w:val="004F6564"/>
    <w:rsid w:val="00503E5A"/>
    <w:rsid w:val="00510021"/>
    <w:rsid w:val="0052779B"/>
    <w:rsid w:val="00545C63"/>
    <w:rsid w:val="00567E0F"/>
    <w:rsid w:val="00584322"/>
    <w:rsid w:val="00595DBD"/>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A76E8"/>
    <w:rsid w:val="007B3772"/>
    <w:rsid w:val="007C0FBD"/>
    <w:rsid w:val="007D594C"/>
    <w:rsid w:val="007E7F34"/>
    <w:rsid w:val="007F3EDD"/>
    <w:rsid w:val="007F7D73"/>
    <w:rsid w:val="0081344C"/>
    <w:rsid w:val="00814A2E"/>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C5224"/>
    <w:rsid w:val="009E055F"/>
    <w:rsid w:val="009E45D0"/>
    <w:rsid w:val="009F0CA4"/>
    <w:rsid w:val="00A004D6"/>
    <w:rsid w:val="00A00644"/>
    <w:rsid w:val="00A02FE2"/>
    <w:rsid w:val="00A0369D"/>
    <w:rsid w:val="00A04F09"/>
    <w:rsid w:val="00A23AAD"/>
    <w:rsid w:val="00A24F23"/>
    <w:rsid w:val="00A629D6"/>
    <w:rsid w:val="00A6497C"/>
    <w:rsid w:val="00A7199E"/>
    <w:rsid w:val="00A76BD9"/>
    <w:rsid w:val="00A77B68"/>
    <w:rsid w:val="00A842F2"/>
    <w:rsid w:val="00A84B7B"/>
    <w:rsid w:val="00A84D6A"/>
    <w:rsid w:val="00A85BB5"/>
    <w:rsid w:val="00A85FD5"/>
    <w:rsid w:val="00A90F21"/>
    <w:rsid w:val="00A9459F"/>
    <w:rsid w:val="00A960C0"/>
    <w:rsid w:val="00AA1258"/>
    <w:rsid w:val="00AA78A6"/>
    <w:rsid w:val="00AB0DAB"/>
    <w:rsid w:val="00AB2691"/>
    <w:rsid w:val="00AC4E32"/>
    <w:rsid w:val="00AC67FB"/>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C00FC8"/>
    <w:rsid w:val="00C068A7"/>
    <w:rsid w:val="00C13B06"/>
    <w:rsid w:val="00C1635D"/>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D4D60"/>
    <w:rsid w:val="00DE3C3D"/>
    <w:rsid w:val="00E10A35"/>
    <w:rsid w:val="00E220ED"/>
    <w:rsid w:val="00E55A17"/>
    <w:rsid w:val="00E57DAB"/>
    <w:rsid w:val="00E666BF"/>
    <w:rsid w:val="00E70DF8"/>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482F"/>
    <w:rsid w:val="00F57B75"/>
    <w:rsid w:val="00F62055"/>
    <w:rsid w:val="00F63D39"/>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securite.tn/fr/node/1048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A199-7F9D-433C-A5E6-E28BCD15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2781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2020-02-07T10:19:00Z</cp:lastPrinted>
  <dcterms:created xsi:type="dcterms:W3CDTF">2020-07-24T15:04:00Z</dcterms:created>
  <dcterms:modified xsi:type="dcterms:W3CDTF">2020-07-24T15:04:00Z</dcterms:modified>
</cp:coreProperties>
</file>