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931F7" w14:textId="096D2EBC" w:rsidR="00BC35AC" w:rsidRPr="00F86EC4" w:rsidRDefault="00BC35AC" w:rsidP="00F86EC4">
      <w:pPr>
        <w:tabs>
          <w:tab w:val="left" w:pos="795"/>
        </w:tabs>
        <w:spacing w:after="100" w:afterAutospacing="1" w:line="240" w:lineRule="auto"/>
        <w:ind w:left="283"/>
        <w:jc w:val="both"/>
        <w:rPr>
          <w:rFonts w:ascii="Arial" w:eastAsia="Times New Roman" w:hAnsi="Arial" w:cs="Arial"/>
          <w:sz w:val="20"/>
          <w:szCs w:val="20"/>
          <w:lang w:eastAsia="en-GB"/>
        </w:rPr>
      </w:pPr>
      <w:r w:rsidRPr="00F86EC4">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14:anchorId="6B8736A8" wp14:editId="5E57D456">
                <wp:simplePos x="0" y="0"/>
                <wp:positionH relativeFrom="margin">
                  <wp:posOffset>165735</wp:posOffset>
                </wp:positionH>
                <wp:positionV relativeFrom="paragraph">
                  <wp:posOffset>50165</wp:posOffset>
                </wp:positionV>
                <wp:extent cx="5953125" cy="1276350"/>
                <wp:effectExtent l="57150" t="38100" r="85725" b="95250"/>
                <wp:wrapNone/>
                <wp:docPr id="3" name="Rectangle 3"/>
                <wp:cNvGraphicFramePr/>
                <a:graphic xmlns:a="http://schemas.openxmlformats.org/drawingml/2006/main">
                  <a:graphicData uri="http://schemas.microsoft.com/office/word/2010/wordprocessingShape">
                    <wps:wsp>
                      <wps:cNvSpPr/>
                      <wps:spPr>
                        <a:xfrm>
                          <a:off x="0" y="0"/>
                          <a:ext cx="5953125" cy="1276350"/>
                        </a:xfrm>
                        <a:prstGeom prst="rect">
                          <a:avLst/>
                        </a:prstGeom>
                        <a:solidFill>
                          <a:schemeClr val="accent2">
                            <a:lumMod val="40000"/>
                            <a:lumOff val="60000"/>
                          </a:schemeClr>
                        </a:solidFill>
                      </wps:spPr>
                      <wps:style>
                        <a:lnRef idx="1">
                          <a:schemeClr val="accent2"/>
                        </a:lnRef>
                        <a:fillRef idx="2">
                          <a:schemeClr val="accent2"/>
                        </a:fillRef>
                        <a:effectRef idx="1">
                          <a:schemeClr val="accent2"/>
                        </a:effectRef>
                        <a:fontRef idx="minor">
                          <a:schemeClr val="dk1"/>
                        </a:fontRef>
                      </wps:style>
                      <wps:txbx>
                        <w:txbxContent>
                          <w:p w14:paraId="0E2BA013" w14:textId="6BB90BF5" w:rsidR="00BC35AC" w:rsidRPr="00661542" w:rsidRDefault="00BC35AC" w:rsidP="00661542">
                            <w:pPr>
                              <w:tabs>
                                <w:tab w:val="left" w:pos="795"/>
                              </w:tabs>
                              <w:spacing w:after="0" w:line="240" w:lineRule="auto"/>
                              <w:jc w:val="both"/>
                              <w:rPr>
                                <w:rFonts w:ascii="Arial" w:eastAsia="Times New Roman" w:hAnsi="Arial" w:cs="Arial"/>
                                <w:b/>
                                <w:bCs/>
                                <w:color w:val="943634" w:themeColor="accent2" w:themeShade="BF"/>
                                <w:lang w:eastAsia="en-GB"/>
                              </w:rPr>
                            </w:pPr>
                            <w:r w:rsidRPr="00661542">
                              <w:rPr>
                                <w:rFonts w:ascii="Arial" w:eastAsia="Times New Roman" w:hAnsi="Arial" w:cs="Arial"/>
                                <w:b/>
                                <w:bCs/>
                                <w:color w:val="943634" w:themeColor="accent2" w:themeShade="BF"/>
                                <w:lang w:eastAsia="en-GB"/>
                              </w:rPr>
                              <w:t>Traduction préliminaire non officielle faite par le Bureau de Tunis du Centre pour la gouvernance du secteur de la sécurité - Genève (DCAF).</w:t>
                            </w:r>
                          </w:p>
                          <w:p w14:paraId="2DD0F1A4" w14:textId="780A97BA" w:rsidR="00BC35AC" w:rsidRPr="00661542" w:rsidRDefault="00BC35AC" w:rsidP="00661542">
                            <w:pPr>
                              <w:tabs>
                                <w:tab w:val="left" w:pos="795"/>
                              </w:tabs>
                              <w:spacing w:after="0" w:line="240" w:lineRule="auto"/>
                              <w:jc w:val="both"/>
                              <w:rPr>
                                <w:rFonts w:ascii="Arial" w:eastAsia="Times New Roman" w:hAnsi="Arial" w:cs="Arial"/>
                                <w:color w:val="943634" w:themeColor="accent2" w:themeShade="BF"/>
                                <w:sz w:val="20"/>
                                <w:szCs w:val="20"/>
                                <w:lang w:eastAsia="en-GB"/>
                              </w:rPr>
                            </w:pPr>
                            <w:r w:rsidRPr="00661542">
                              <w:rPr>
                                <w:rFonts w:ascii="Arial" w:eastAsia="Times New Roman" w:hAnsi="Arial" w:cs="Arial"/>
                                <w:color w:val="943634" w:themeColor="accent2" w:themeShade="BF"/>
                                <w:sz w:val="20"/>
                                <w:szCs w:val="20"/>
                                <w:lang w:eastAsia="en-GB"/>
                              </w:rPr>
                              <w:t xml:space="preserve">Le DCAF décline toute responsabilité pour des erreurs de traduction, seule la version </w:t>
                            </w:r>
                            <w:hyperlink r:id="rId8" w:history="1">
                              <w:r w:rsidRPr="00072E7A">
                                <w:rPr>
                                  <w:rStyle w:val="Lienhypertexte"/>
                                  <w:rFonts w:ascii="Arial" w:eastAsia="Times New Roman" w:hAnsi="Arial" w:cs="Arial"/>
                                  <w:sz w:val="20"/>
                                  <w:szCs w:val="20"/>
                                  <w:lang w:eastAsia="en-GB"/>
                                </w:rPr>
                                <w:t>arabe</w:t>
                              </w:r>
                            </w:hyperlink>
                            <w:r w:rsidRPr="00661542">
                              <w:rPr>
                                <w:rFonts w:ascii="Arial" w:eastAsia="Times New Roman" w:hAnsi="Arial" w:cs="Arial"/>
                                <w:color w:val="943634" w:themeColor="accent2" w:themeShade="BF"/>
                                <w:sz w:val="20"/>
                                <w:szCs w:val="20"/>
                                <w:lang w:eastAsia="en-GB"/>
                              </w:rPr>
                              <w:t xml:space="preserve"> fait foi.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736A8" id="Rectangle 3" o:spid="_x0000_s1026" style="position:absolute;left:0;text-align:left;margin-left:13.05pt;margin-top:3.95pt;width:468.75pt;height:1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" fillcolor="#e5b8b7 [1301]" strokecolor="#bc4542 [3045]">
                <v:shadow on="t" color="black" opacity="24903f" origin=",.5" offset="0,.55556mm"/>
                <v:textbox>
                  <w:txbxContent>
                    <w:p w14:paraId="0E2BA013" w14:textId="6BB90BF5" w:rsidR="00BC35AC" w:rsidRPr="00661542" w:rsidRDefault="00BC35AC" w:rsidP="00661542">
                      <w:pPr>
                        <w:tabs>
                          <w:tab w:val="left" w:pos="795"/>
                        </w:tabs>
                        <w:spacing w:after="0" w:line="240" w:lineRule="auto"/>
                        <w:jc w:val="both"/>
                        <w:rPr>
                          <w:rFonts w:ascii="Arial" w:eastAsia="Times New Roman" w:hAnsi="Arial" w:cs="Arial"/>
                          <w:b/>
                          <w:bCs/>
                          <w:color w:val="943634" w:themeColor="accent2" w:themeShade="BF"/>
                          <w:lang w:eastAsia="en-GB"/>
                        </w:rPr>
                      </w:pPr>
                      <w:r w:rsidRPr="00661542">
                        <w:rPr>
                          <w:rFonts w:ascii="Arial" w:eastAsia="Times New Roman" w:hAnsi="Arial" w:cs="Arial"/>
                          <w:b/>
                          <w:bCs/>
                          <w:color w:val="943634" w:themeColor="accent2" w:themeShade="BF"/>
                          <w:lang w:eastAsia="en-GB"/>
                        </w:rPr>
                        <w:t>Traduction préliminaire non officielle faite par le Bureau de Tunis du Centre pour la gouvernance du secteur de la sécurité - Genève (DCAF).</w:t>
                      </w:r>
                    </w:p>
                    <w:p w14:paraId="2DD0F1A4" w14:textId="780A97BA" w:rsidR="00BC35AC" w:rsidRPr="00661542" w:rsidRDefault="00BC35AC" w:rsidP="00661542">
                      <w:pPr>
                        <w:tabs>
                          <w:tab w:val="left" w:pos="795"/>
                        </w:tabs>
                        <w:spacing w:after="0" w:line="240" w:lineRule="auto"/>
                        <w:jc w:val="both"/>
                        <w:rPr>
                          <w:rFonts w:ascii="Arial" w:eastAsia="Times New Roman" w:hAnsi="Arial" w:cs="Arial"/>
                          <w:color w:val="943634" w:themeColor="accent2" w:themeShade="BF"/>
                          <w:sz w:val="20"/>
                          <w:szCs w:val="20"/>
                          <w:lang w:eastAsia="en-GB"/>
                        </w:rPr>
                      </w:pPr>
                      <w:r w:rsidRPr="00661542">
                        <w:rPr>
                          <w:rFonts w:ascii="Arial" w:eastAsia="Times New Roman" w:hAnsi="Arial" w:cs="Arial"/>
                          <w:color w:val="943634" w:themeColor="accent2" w:themeShade="BF"/>
                          <w:sz w:val="20"/>
                          <w:szCs w:val="20"/>
                          <w:lang w:eastAsia="en-GB"/>
                        </w:rPr>
                        <w:t xml:space="preserve">Le DCAF décline toute responsabilité pour des erreurs de traduction, seule la version </w:t>
                      </w:r>
                      <w:hyperlink r:id="rId9" w:history="1">
                        <w:r w:rsidRPr="00072E7A">
                          <w:rPr>
                            <w:rStyle w:val="Lienhypertexte"/>
                            <w:rFonts w:ascii="Arial" w:eastAsia="Times New Roman" w:hAnsi="Arial" w:cs="Arial"/>
                            <w:sz w:val="20"/>
                            <w:szCs w:val="20"/>
                            <w:lang w:eastAsia="en-GB"/>
                          </w:rPr>
                          <w:t>arabe</w:t>
                        </w:r>
                      </w:hyperlink>
                      <w:r w:rsidRPr="00661542">
                        <w:rPr>
                          <w:rFonts w:ascii="Arial" w:eastAsia="Times New Roman" w:hAnsi="Arial" w:cs="Arial"/>
                          <w:color w:val="943634" w:themeColor="accent2" w:themeShade="BF"/>
                          <w:sz w:val="20"/>
                          <w:szCs w:val="20"/>
                          <w:lang w:eastAsia="en-GB"/>
                        </w:rPr>
                        <w:t xml:space="preserve"> fait foi.</w:t>
                      </w:r>
                    </w:p>
                  </w:txbxContent>
                </v:textbox>
                <w10:wrap anchorx="margin"/>
              </v:rect>
            </w:pict>
          </mc:Fallback>
        </mc:AlternateContent>
      </w:r>
    </w:p>
    <w:p w14:paraId="601E920E" w14:textId="78D65405" w:rsidR="002C61B8" w:rsidRPr="002C61B8" w:rsidRDefault="002C61B8" w:rsidP="00F86EC4">
      <w:pPr>
        <w:tabs>
          <w:tab w:val="left" w:pos="795"/>
        </w:tabs>
        <w:spacing w:after="100" w:afterAutospacing="1" w:line="240" w:lineRule="auto"/>
        <w:ind w:left="283"/>
        <w:rPr>
          <w:rFonts w:ascii="Times New Roman" w:eastAsia="Times New Roman" w:hAnsi="Times New Roman" w:cs="Times New Roman"/>
          <w:sz w:val="20"/>
          <w:szCs w:val="20"/>
          <w:lang w:eastAsia="en-GB"/>
        </w:rPr>
      </w:pPr>
      <w:r w:rsidRPr="002C61B8">
        <w:rPr>
          <w:rFonts w:ascii="Times New Roman" w:eastAsia="Times New Roman" w:hAnsi="Times New Roman" w:cs="Times New Roman"/>
          <w:sz w:val="20"/>
          <w:szCs w:val="20"/>
          <w:lang w:eastAsia="en-GB"/>
        </w:rPr>
        <w:t> </w:t>
      </w:r>
    </w:p>
    <w:p w14:paraId="0E28DD3F" w14:textId="62A79FB3" w:rsidR="002C61B8" w:rsidRPr="002C61B8" w:rsidRDefault="002C61B8" w:rsidP="00F86EC4">
      <w:pPr>
        <w:spacing w:after="100" w:afterAutospacing="1" w:line="240" w:lineRule="auto"/>
        <w:ind w:left="283"/>
        <w:rPr>
          <w:rFonts w:ascii="Times New Roman" w:eastAsia="Times New Roman" w:hAnsi="Times New Roman" w:cs="Times New Roman"/>
          <w:sz w:val="20"/>
          <w:szCs w:val="20"/>
          <w:lang w:eastAsia="en-GB"/>
        </w:rPr>
      </w:pPr>
      <w:r w:rsidRPr="002C61B8">
        <w:rPr>
          <w:rFonts w:ascii="Times New Roman" w:eastAsia="Times New Roman" w:hAnsi="Times New Roman" w:cs="Times New Roman"/>
          <w:sz w:val="20"/>
          <w:szCs w:val="20"/>
          <w:lang w:eastAsia="en-GB"/>
        </w:rPr>
        <w:t> </w:t>
      </w:r>
    </w:p>
    <w:p w14:paraId="4123D567" w14:textId="516D5C37" w:rsidR="00E15436" w:rsidRPr="00F86EC4" w:rsidRDefault="00E15436" w:rsidP="00F86EC4">
      <w:pPr>
        <w:ind w:left="283"/>
        <w:rPr>
          <w:sz w:val="20"/>
          <w:szCs w:val="20"/>
        </w:rPr>
      </w:pPr>
    </w:p>
    <w:p w14:paraId="6B778F0E" w14:textId="64B80D8F" w:rsidR="00CF24B8" w:rsidRPr="00F86EC4" w:rsidRDefault="00CF24B8" w:rsidP="00F86EC4">
      <w:pPr>
        <w:tabs>
          <w:tab w:val="left" w:pos="795"/>
        </w:tabs>
        <w:spacing w:after="0" w:line="240" w:lineRule="auto"/>
        <w:ind w:left="283"/>
        <w:jc w:val="both"/>
        <w:rPr>
          <w:rFonts w:ascii="Arial" w:eastAsia="Times New Roman" w:hAnsi="Arial" w:cs="Arial"/>
          <w:b/>
          <w:bCs/>
          <w:color w:val="943634" w:themeColor="accent2" w:themeShade="BF"/>
          <w:sz w:val="20"/>
          <w:szCs w:val="20"/>
          <w:lang w:eastAsia="en-GB"/>
        </w:rPr>
      </w:pPr>
    </w:p>
    <w:p w14:paraId="4571E820" w14:textId="49497AAC" w:rsidR="00F86EC4" w:rsidRDefault="00F86EC4" w:rsidP="00DF2450">
      <w:pPr>
        <w:tabs>
          <w:tab w:val="left" w:pos="1350"/>
        </w:tabs>
        <w:spacing w:after="0" w:line="240" w:lineRule="auto"/>
        <w:jc w:val="both"/>
        <w:rPr>
          <w:rFonts w:ascii="Arial" w:eastAsia="Times New Roman" w:hAnsi="Arial" w:cs="Arial"/>
          <w:b/>
          <w:bCs/>
          <w:sz w:val="20"/>
          <w:szCs w:val="20"/>
          <w:lang w:eastAsia="en-GB"/>
        </w:rPr>
      </w:pPr>
    </w:p>
    <w:p w14:paraId="26322EC9" w14:textId="77777777" w:rsidR="003D1E3E" w:rsidRPr="003D1E3E" w:rsidRDefault="003D1E3E" w:rsidP="00DF2450">
      <w:pPr>
        <w:tabs>
          <w:tab w:val="left" w:pos="795"/>
        </w:tabs>
        <w:spacing w:before="120" w:after="0" w:line="240" w:lineRule="auto"/>
        <w:ind w:left="284"/>
        <w:jc w:val="both"/>
        <w:rPr>
          <w:rFonts w:ascii="Arial" w:eastAsia="Times New Roman" w:hAnsi="Arial" w:cs="Arial"/>
          <w:b/>
          <w:bCs/>
          <w:sz w:val="20"/>
          <w:szCs w:val="20"/>
          <w:lang w:eastAsia="en-GB"/>
        </w:rPr>
      </w:pPr>
    </w:p>
    <w:p w14:paraId="00FCABB3" w14:textId="7853A487" w:rsidR="00DF2450" w:rsidRDefault="003D1E3E" w:rsidP="00DF2450">
      <w:pPr>
        <w:tabs>
          <w:tab w:val="left" w:pos="795"/>
        </w:tabs>
        <w:spacing w:before="120" w:after="0" w:line="240" w:lineRule="auto"/>
        <w:ind w:left="284"/>
        <w:jc w:val="both"/>
        <w:rPr>
          <w:rFonts w:ascii="Arial" w:eastAsia="Times New Roman" w:hAnsi="Arial" w:cs="Arial"/>
          <w:b/>
          <w:bCs/>
          <w:sz w:val="24"/>
          <w:szCs w:val="24"/>
          <w:lang w:eastAsia="en-GB"/>
        </w:rPr>
      </w:pPr>
      <w:r w:rsidRPr="00DF2450">
        <w:rPr>
          <w:rFonts w:ascii="Arial" w:eastAsia="Times New Roman" w:hAnsi="Arial" w:cs="Arial"/>
          <w:b/>
          <w:bCs/>
          <w:sz w:val="24"/>
          <w:szCs w:val="24"/>
          <w:lang w:eastAsia="en-GB"/>
        </w:rPr>
        <w:t>Décret gouvernemental n° 2019-525 du 17 juin 2019, complétant le décret n° 91-543 du 1er avril 1991, portant organisation du ministère de l’Intérieur</w:t>
      </w:r>
    </w:p>
    <w:p w14:paraId="3BDBB938" w14:textId="77777777" w:rsidR="00DF2450" w:rsidRPr="00DF2450" w:rsidRDefault="00DF2450" w:rsidP="00DF2450">
      <w:pPr>
        <w:tabs>
          <w:tab w:val="left" w:pos="795"/>
        </w:tabs>
        <w:spacing w:before="120" w:after="0" w:line="240" w:lineRule="auto"/>
        <w:ind w:left="284"/>
        <w:jc w:val="both"/>
        <w:rPr>
          <w:rFonts w:ascii="Arial" w:eastAsia="Times New Roman" w:hAnsi="Arial" w:cs="Arial"/>
          <w:b/>
          <w:bCs/>
          <w:sz w:val="24"/>
          <w:szCs w:val="24"/>
          <w:lang w:eastAsia="en-GB"/>
        </w:rPr>
      </w:pPr>
    </w:p>
    <w:p w14:paraId="6C3AF81B" w14:textId="1E3A628C" w:rsid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Le chef du gouvernement</w:t>
      </w:r>
      <w:r w:rsidR="00DF2450">
        <w:rPr>
          <w:rFonts w:ascii="Arial" w:eastAsia="Times New Roman" w:hAnsi="Arial" w:cs="Arial"/>
          <w:sz w:val="20"/>
          <w:szCs w:val="20"/>
          <w:lang w:eastAsia="en-GB"/>
        </w:rPr>
        <w:t>,</w:t>
      </w:r>
    </w:p>
    <w:p w14:paraId="0B70D8E9" w14:textId="77777777" w:rsid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 Sur proposition du ministre de l'intérieur,</w:t>
      </w:r>
    </w:p>
    <w:p w14:paraId="1F8F3DD3" w14:textId="6108033B"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Vu la Constitution,</w:t>
      </w:r>
    </w:p>
    <w:p w14:paraId="1BFF2E52" w14:textId="5EB78F01"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Vu le décret n° 75-342 du 30 mai 1975, fixant les attributions du ministère de l'Intérieur, tel que modifié par le décret n°2001-1454 du 15 juin 2001,</w:t>
      </w:r>
    </w:p>
    <w:p w14:paraId="5FA77438" w14:textId="7CA73ABE"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Vu le décret n°91-543 du 1e avril 1991, portant organisation du ministère de l’intérieur, ensemble les textes qui l'ont modifiée ou complétée et notamment, le décret gouvernemental n° 2017-737 du 9 juin 2017, modifiant le décret n° 91-543 du 1er avril 1991,</w:t>
      </w:r>
    </w:p>
    <w:p w14:paraId="64EE9F43" w14:textId="66BD3245"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Vu le décret n° 2006-1245 du 24 avril 2006, fixant le régime d’attribution et de retrait des emplois fonctionnels d’administration centrale, </w:t>
      </w:r>
    </w:p>
    <w:p w14:paraId="692D4581" w14:textId="4B75A703"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Vu le décret présidentiel n° 2016-107 du 27 août 2016, portant nomination du Chef du gouvernement et de ses membres, </w:t>
      </w:r>
    </w:p>
    <w:p w14:paraId="399B7D61" w14:textId="5A41CCC3"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Vu le décret présidentiel n° 2017-124 du 12 septembre 2017, portant nomination des membres du gouvernement, </w:t>
      </w:r>
    </w:p>
    <w:p w14:paraId="4ED38446" w14:textId="7514775D"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Vu le décret présidentiel n° 2018-69 du 30 juillet 2018, portant nomination d’un membre du gouvernement, </w:t>
      </w:r>
    </w:p>
    <w:p w14:paraId="70CED593" w14:textId="5614BEA0"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Vu le décret présidentiel n° 2018-125 du 14 novembre 2018, portant nomination des membres du gouvernement, </w:t>
      </w:r>
    </w:p>
    <w:p w14:paraId="57941667" w14:textId="4087F3C3"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Vu le décret gouvernemental n°2019-13 du 11 janvier 2019 modifiant et complétant le décret n° 2007-246 du 15 août 2007, fixant les structures des forces de sûreté intérieure au ministère de l’intérieur et du développement local,</w:t>
      </w:r>
    </w:p>
    <w:p w14:paraId="27AB2CAD" w14:textId="1DB38E3B"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Vu la loi n° 2013-50 du 19 décembre 2013, portant régime particulier de réparation des dommages résultant aux agents des forces de sûreté intérieure, des accidents du travail et des maladies professionnelles, </w:t>
      </w:r>
    </w:p>
    <w:p w14:paraId="12630D09" w14:textId="7A15728C"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Vu l'avis du tribunal administratif</w:t>
      </w:r>
    </w:p>
    <w:p w14:paraId="11BA2D6D" w14:textId="77777777" w:rsid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Après la délibération du conseil des ministres. </w:t>
      </w:r>
    </w:p>
    <w:p w14:paraId="0E12395F" w14:textId="080061F2"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Prend le décret gouvernemental dont la teneur suit : </w:t>
      </w:r>
    </w:p>
    <w:p w14:paraId="7A6374E2" w14:textId="2FECAF3F"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b/>
          <w:bCs/>
          <w:i/>
          <w:iCs/>
          <w:sz w:val="20"/>
          <w:szCs w:val="20"/>
          <w:lang w:eastAsia="en-GB"/>
        </w:rPr>
        <w:t>Article premier</w:t>
      </w:r>
      <w:r w:rsidR="00DF2450" w:rsidRPr="00DF2450">
        <w:rPr>
          <w:rFonts w:ascii="Arial" w:eastAsia="Times New Roman" w:hAnsi="Arial" w:cs="Arial"/>
          <w:b/>
          <w:bCs/>
          <w:i/>
          <w:iCs/>
          <w:sz w:val="20"/>
          <w:szCs w:val="20"/>
          <w:lang w:eastAsia="en-GB"/>
        </w:rPr>
        <w:t xml:space="preserve"> –</w:t>
      </w:r>
      <w:r w:rsidRPr="00DF2450">
        <w:rPr>
          <w:rFonts w:ascii="Arial" w:eastAsia="Times New Roman" w:hAnsi="Arial" w:cs="Arial"/>
          <w:sz w:val="20"/>
          <w:szCs w:val="20"/>
          <w:lang w:eastAsia="en-GB"/>
        </w:rPr>
        <w:t xml:space="preserve"> Est ajouté aux dispositions du </w:t>
      </w:r>
      <w:hyperlink r:id="rId10" w:history="1">
        <w:r w:rsidRPr="00F871D9">
          <w:rPr>
            <w:rStyle w:val="Lienhypertexte"/>
            <w:rFonts w:ascii="Arial" w:eastAsia="Times New Roman" w:hAnsi="Arial" w:cs="Arial"/>
            <w:sz w:val="20"/>
            <w:szCs w:val="20"/>
            <w:lang w:eastAsia="en-GB"/>
          </w:rPr>
          <w:t>décret n° 91-543 du 1er avril 1991, portant organisation du ministère de l’Intérieur</w:t>
        </w:r>
      </w:hyperlink>
      <w:r w:rsidRPr="00DF2450">
        <w:rPr>
          <w:rFonts w:ascii="Arial" w:eastAsia="Times New Roman" w:hAnsi="Arial" w:cs="Arial"/>
          <w:sz w:val="20"/>
          <w:szCs w:val="20"/>
          <w:lang w:eastAsia="en-GB"/>
        </w:rPr>
        <w:t>, le numéro 4 de l’article 21 et le sous-paragraphe « D » de l’article 27 ainsi rédigés :</w:t>
      </w:r>
    </w:p>
    <w:p w14:paraId="3CC98228" w14:textId="4371822B" w:rsidR="003D1E3E" w:rsidRPr="00DF2450" w:rsidRDefault="003D1E3E" w:rsidP="00DF2450">
      <w:pPr>
        <w:tabs>
          <w:tab w:val="left" w:pos="795"/>
        </w:tabs>
        <w:spacing w:before="120" w:after="0" w:line="240" w:lineRule="auto"/>
        <w:ind w:left="284"/>
        <w:jc w:val="both"/>
        <w:rPr>
          <w:rFonts w:ascii="Arial" w:eastAsia="Times New Roman" w:hAnsi="Arial" w:cs="Arial"/>
          <w:b/>
          <w:bCs/>
          <w:i/>
          <w:iCs/>
          <w:sz w:val="20"/>
          <w:szCs w:val="20"/>
          <w:lang w:eastAsia="en-GB"/>
        </w:rPr>
      </w:pPr>
      <w:r w:rsidRPr="00DF2450">
        <w:rPr>
          <w:rFonts w:ascii="Arial" w:eastAsia="Times New Roman" w:hAnsi="Arial" w:cs="Arial"/>
          <w:b/>
          <w:bCs/>
          <w:i/>
          <w:iCs/>
          <w:sz w:val="20"/>
          <w:szCs w:val="20"/>
          <w:lang w:eastAsia="en-GB"/>
        </w:rPr>
        <w:t>Article 21 (numéro 4)</w:t>
      </w:r>
      <w:r w:rsidR="00DF2450">
        <w:rPr>
          <w:rFonts w:ascii="Arial" w:eastAsia="Times New Roman" w:hAnsi="Arial" w:cs="Arial"/>
          <w:b/>
          <w:bCs/>
          <w:i/>
          <w:iCs/>
          <w:sz w:val="20"/>
          <w:szCs w:val="20"/>
          <w:lang w:eastAsia="en-GB"/>
        </w:rPr>
        <w:t xml:space="preserve"> – </w:t>
      </w:r>
    </w:p>
    <w:p w14:paraId="19931632" w14:textId="37C53FC0" w:rsidR="003D1E3E" w:rsidRPr="00DF2450" w:rsidRDefault="003D1E3E" w:rsidP="00DF2450">
      <w:pPr>
        <w:tabs>
          <w:tab w:val="left" w:pos="795"/>
        </w:tabs>
        <w:spacing w:before="120" w:after="0" w:line="240" w:lineRule="auto"/>
        <w:ind w:left="567"/>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          </w:t>
      </w:r>
      <w:r w:rsidR="00DF2450">
        <w:rPr>
          <w:rFonts w:ascii="Arial" w:eastAsia="Times New Roman" w:hAnsi="Arial" w:cs="Arial"/>
          <w:sz w:val="20"/>
          <w:szCs w:val="20"/>
          <w:lang w:eastAsia="en-GB"/>
        </w:rPr>
        <w:t xml:space="preserve">4- </w:t>
      </w:r>
      <w:r w:rsidRPr="00DF2450">
        <w:rPr>
          <w:rFonts w:ascii="Arial" w:eastAsia="Times New Roman" w:hAnsi="Arial" w:cs="Arial"/>
          <w:sz w:val="20"/>
          <w:szCs w:val="20"/>
          <w:lang w:eastAsia="en-GB"/>
        </w:rPr>
        <w:t xml:space="preserve">La Direction des indemnisations et de la protection sanitaire, qui comprend : </w:t>
      </w:r>
    </w:p>
    <w:p w14:paraId="3AC73197" w14:textId="5F9477AF" w:rsidR="003D1E3E" w:rsidRPr="00DF2450" w:rsidRDefault="003D1E3E" w:rsidP="00DF2450">
      <w:pPr>
        <w:pStyle w:val="Paragraphedeliste"/>
        <w:numPr>
          <w:ilvl w:val="0"/>
          <w:numId w:val="9"/>
        </w:numPr>
        <w:tabs>
          <w:tab w:val="left" w:pos="795"/>
        </w:tabs>
        <w:spacing w:before="120" w:after="0" w:line="240" w:lineRule="auto"/>
        <w:ind w:left="1267"/>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La sous-direction de la réparation des accidents du travail et des maladies professionnelles, qui comporte :</w:t>
      </w:r>
    </w:p>
    <w:p w14:paraId="688B99A2" w14:textId="77777777" w:rsidR="00DF2450" w:rsidRDefault="003D1E3E" w:rsidP="00DF2450">
      <w:pPr>
        <w:pStyle w:val="Paragraphedeliste"/>
        <w:numPr>
          <w:ilvl w:val="0"/>
          <w:numId w:val="11"/>
        </w:numPr>
        <w:tabs>
          <w:tab w:val="left" w:pos="795"/>
        </w:tabs>
        <w:spacing w:before="120" w:after="0" w:line="240" w:lineRule="auto"/>
        <w:ind w:left="149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lastRenderedPageBreak/>
        <w:t>Le service de la réparation des accidents du travail et des maladies professionnelles du corps de la sûreté nationale.</w:t>
      </w:r>
    </w:p>
    <w:p w14:paraId="2875D439" w14:textId="77777777" w:rsidR="00DF2450" w:rsidRDefault="003D1E3E" w:rsidP="00DF2450">
      <w:pPr>
        <w:pStyle w:val="Paragraphedeliste"/>
        <w:numPr>
          <w:ilvl w:val="0"/>
          <w:numId w:val="11"/>
        </w:numPr>
        <w:tabs>
          <w:tab w:val="left" w:pos="795"/>
        </w:tabs>
        <w:spacing w:before="120" w:after="0" w:line="240" w:lineRule="auto"/>
        <w:ind w:left="149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Le service de la réparation des accidents du travail et des maladies professionnelles du corps de la garde nationale. </w:t>
      </w:r>
    </w:p>
    <w:p w14:paraId="63356F13" w14:textId="4B5B5836" w:rsidR="003D1E3E" w:rsidRPr="00DF2450" w:rsidRDefault="003D1E3E" w:rsidP="00DF2450">
      <w:pPr>
        <w:pStyle w:val="Paragraphedeliste"/>
        <w:numPr>
          <w:ilvl w:val="0"/>
          <w:numId w:val="11"/>
        </w:numPr>
        <w:tabs>
          <w:tab w:val="left" w:pos="795"/>
        </w:tabs>
        <w:spacing w:before="120" w:after="0" w:line="240" w:lineRule="auto"/>
        <w:ind w:left="149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Le service de la réparation des accidents du travail et des maladies professionnelles du corps de la protection civile, des cadres communs, techniques et ouvriers et des corps particuliers. </w:t>
      </w:r>
    </w:p>
    <w:p w14:paraId="13F30F56" w14:textId="2A77E269" w:rsidR="003D1E3E" w:rsidRPr="00DF2450" w:rsidRDefault="003D1E3E" w:rsidP="00DF2450">
      <w:pPr>
        <w:pStyle w:val="Paragraphedeliste"/>
        <w:numPr>
          <w:ilvl w:val="0"/>
          <w:numId w:val="9"/>
        </w:numPr>
        <w:tabs>
          <w:tab w:val="left" w:pos="795"/>
        </w:tabs>
        <w:spacing w:before="120" w:after="0" w:line="240" w:lineRule="auto"/>
        <w:ind w:left="1267"/>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La sous-direction de protection sanitaire et de réparation des décisions de justice, qui comporte :</w:t>
      </w:r>
    </w:p>
    <w:p w14:paraId="3FA4727C" w14:textId="77777777" w:rsidR="00DF2450" w:rsidRDefault="003D1E3E" w:rsidP="00DF2450">
      <w:pPr>
        <w:pStyle w:val="Paragraphedeliste"/>
        <w:numPr>
          <w:ilvl w:val="0"/>
          <w:numId w:val="11"/>
        </w:numPr>
        <w:tabs>
          <w:tab w:val="left" w:pos="795"/>
        </w:tabs>
        <w:spacing w:before="120" w:after="0" w:line="240" w:lineRule="auto"/>
        <w:ind w:left="149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Le service des dépenses de protection sanitaire.</w:t>
      </w:r>
    </w:p>
    <w:p w14:paraId="602AE257" w14:textId="71F7C4F1" w:rsidR="003D1E3E" w:rsidRPr="00DF2450" w:rsidRDefault="003D1E3E" w:rsidP="00DF2450">
      <w:pPr>
        <w:pStyle w:val="Paragraphedeliste"/>
        <w:numPr>
          <w:ilvl w:val="0"/>
          <w:numId w:val="11"/>
        </w:numPr>
        <w:tabs>
          <w:tab w:val="left" w:pos="795"/>
        </w:tabs>
        <w:spacing w:before="120" w:after="0" w:line="240" w:lineRule="auto"/>
        <w:ind w:left="149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Le service de réparation des décisions de justice.</w:t>
      </w:r>
    </w:p>
    <w:p w14:paraId="6839FFEA" w14:textId="289A87F9" w:rsidR="003D1E3E" w:rsidRPr="00DF2450" w:rsidRDefault="003D1E3E" w:rsidP="00DF2450">
      <w:pPr>
        <w:tabs>
          <w:tab w:val="left" w:pos="795"/>
        </w:tabs>
        <w:spacing w:before="120" w:after="0" w:line="240" w:lineRule="auto"/>
        <w:ind w:left="284"/>
        <w:jc w:val="both"/>
        <w:rPr>
          <w:rFonts w:ascii="Arial" w:eastAsia="Times New Roman" w:hAnsi="Arial" w:cs="Arial"/>
          <w:b/>
          <w:bCs/>
          <w:i/>
          <w:iCs/>
          <w:sz w:val="20"/>
          <w:szCs w:val="20"/>
          <w:lang w:eastAsia="en-GB"/>
        </w:rPr>
      </w:pPr>
      <w:r w:rsidRPr="00DF2450">
        <w:rPr>
          <w:rFonts w:ascii="Arial" w:eastAsia="Times New Roman" w:hAnsi="Arial" w:cs="Arial"/>
          <w:b/>
          <w:bCs/>
          <w:i/>
          <w:iCs/>
          <w:sz w:val="20"/>
          <w:szCs w:val="20"/>
          <w:lang w:eastAsia="en-GB"/>
        </w:rPr>
        <w:t xml:space="preserve"> Art</w:t>
      </w:r>
      <w:r w:rsidR="00DF2450">
        <w:rPr>
          <w:rFonts w:ascii="Arial" w:eastAsia="Times New Roman" w:hAnsi="Arial" w:cs="Arial"/>
          <w:b/>
          <w:bCs/>
          <w:i/>
          <w:iCs/>
          <w:sz w:val="20"/>
          <w:szCs w:val="20"/>
          <w:lang w:eastAsia="en-GB"/>
        </w:rPr>
        <w:t>.</w:t>
      </w:r>
      <w:r w:rsidRPr="00DF2450">
        <w:rPr>
          <w:rFonts w:ascii="Arial" w:eastAsia="Times New Roman" w:hAnsi="Arial" w:cs="Arial"/>
          <w:b/>
          <w:bCs/>
          <w:i/>
          <w:iCs/>
          <w:sz w:val="20"/>
          <w:szCs w:val="20"/>
          <w:lang w:eastAsia="en-GB"/>
        </w:rPr>
        <w:t xml:space="preserve"> 27 (sous-paragraphe « D »)</w:t>
      </w:r>
      <w:r w:rsidR="00DF2450">
        <w:rPr>
          <w:rFonts w:ascii="Arial" w:eastAsia="Times New Roman" w:hAnsi="Arial" w:cs="Arial"/>
          <w:b/>
          <w:bCs/>
          <w:i/>
          <w:iCs/>
          <w:sz w:val="20"/>
          <w:szCs w:val="20"/>
          <w:lang w:eastAsia="en-GB"/>
        </w:rPr>
        <w:t xml:space="preserve"> – </w:t>
      </w:r>
    </w:p>
    <w:p w14:paraId="141BABD2" w14:textId="77777777"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     D- La sous-direction de la médecine du travail et de la sécurité au travail, qui comporte :</w:t>
      </w:r>
    </w:p>
    <w:p w14:paraId="049B5BC7" w14:textId="55310F46" w:rsidR="003D1E3E" w:rsidRPr="00E17A3C" w:rsidRDefault="003D1E3E" w:rsidP="00E17A3C">
      <w:pPr>
        <w:pStyle w:val="Paragraphedeliste"/>
        <w:numPr>
          <w:ilvl w:val="0"/>
          <w:numId w:val="11"/>
        </w:numPr>
        <w:tabs>
          <w:tab w:val="left" w:pos="795"/>
        </w:tabs>
        <w:spacing w:before="120" w:after="0" w:line="240" w:lineRule="auto"/>
        <w:ind w:left="1494"/>
        <w:jc w:val="both"/>
        <w:rPr>
          <w:rFonts w:ascii="Arial" w:eastAsia="Times New Roman" w:hAnsi="Arial" w:cs="Arial"/>
          <w:sz w:val="20"/>
          <w:szCs w:val="20"/>
          <w:lang w:eastAsia="en-GB"/>
        </w:rPr>
      </w:pPr>
      <w:r w:rsidRPr="00E17A3C">
        <w:rPr>
          <w:rFonts w:ascii="Arial" w:eastAsia="Times New Roman" w:hAnsi="Arial" w:cs="Arial"/>
          <w:sz w:val="20"/>
          <w:szCs w:val="20"/>
          <w:lang w:eastAsia="en-GB"/>
        </w:rPr>
        <w:t xml:space="preserve">Le service de la médecine du travail et de la sécurité au travail </w:t>
      </w:r>
    </w:p>
    <w:p w14:paraId="571C9584" w14:textId="1E6A65DF" w:rsidR="003D1E3E" w:rsidRPr="00E17A3C" w:rsidRDefault="003D1E3E" w:rsidP="00E17A3C">
      <w:pPr>
        <w:pStyle w:val="Paragraphedeliste"/>
        <w:numPr>
          <w:ilvl w:val="0"/>
          <w:numId w:val="11"/>
        </w:numPr>
        <w:tabs>
          <w:tab w:val="left" w:pos="795"/>
        </w:tabs>
        <w:spacing w:before="120" w:after="0" w:line="240" w:lineRule="auto"/>
        <w:ind w:left="1494"/>
        <w:jc w:val="both"/>
        <w:rPr>
          <w:rFonts w:ascii="Arial" w:eastAsia="Times New Roman" w:hAnsi="Arial" w:cs="Arial"/>
          <w:sz w:val="20"/>
          <w:szCs w:val="20"/>
          <w:lang w:eastAsia="en-GB"/>
        </w:rPr>
      </w:pPr>
      <w:r w:rsidRPr="00E17A3C">
        <w:rPr>
          <w:rFonts w:ascii="Arial" w:eastAsia="Times New Roman" w:hAnsi="Arial" w:cs="Arial"/>
          <w:sz w:val="20"/>
          <w:szCs w:val="20"/>
          <w:lang w:eastAsia="en-GB"/>
        </w:rPr>
        <w:t>Le service de l’aptitude médicale et des visites médicales spécialisées.</w:t>
      </w:r>
    </w:p>
    <w:p w14:paraId="7BD5EF74" w14:textId="74F4ED12" w:rsidR="003D1E3E" w:rsidRPr="00DF2450" w:rsidRDefault="003D1E3E" w:rsidP="00DF2450">
      <w:pPr>
        <w:tabs>
          <w:tab w:val="left" w:pos="795"/>
        </w:tabs>
        <w:spacing w:before="120" w:after="0" w:line="240" w:lineRule="auto"/>
        <w:ind w:left="284"/>
        <w:jc w:val="both"/>
        <w:rPr>
          <w:rFonts w:ascii="Arial" w:eastAsia="Times New Roman" w:hAnsi="Arial" w:cs="Arial"/>
          <w:sz w:val="20"/>
          <w:szCs w:val="20"/>
          <w:lang w:eastAsia="en-GB"/>
        </w:rPr>
      </w:pPr>
      <w:r w:rsidRPr="00E17A3C">
        <w:rPr>
          <w:rFonts w:ascii="Arial" w:eastAsia="Times New Roman" w:hAnsi="Arial" w:cs="Arial"/>
          <w:b/>
          <w:bCs/>
          <w:i/>
          <w:iCs/>
          <w:sz w:val="20"/>
          <w:szCs w:val="20"/>
          <w:lang w:eastAsia="en-GB"/>
        </w:rPr>
        <w:t>Art. 2</w:t>
      </w:r>
      <w:r w:rsidR="00E17A3C">
        <w:rPr>
          <w:rFonts w:ascii="Arial" w:eastAsia="Times New Roman" w:hAnsi="Arial" w:cs="Arial"/>
          <w:b/>
          <w:bCs/>
          <w:i/>
          <w:iCs/>
          <w:sz w:val="20"/>
          <w:szCs w:val="20"/>
          <w:lang w:eastAsia="en-GB"/>
        </w:rPr>
        <w:t xml:space="preserve"> – </w:t>
      </w:r>
      <w:r w:rsidRPr="00DF2450">
        <w:rPr>
          <w:rFonts w:ascii="Arial" w:eastAsia="Times New Roman" w:hAnsi="Arial" w:cs="Arial"/>
          <w:sz w:val="20"/>
          <w:szCs w:val="20"/>
          <w:lang w:eastAsia="en-GB"/>
        </w:rPr>
        <w:t>Le ministre de l'intérieur et le ministre des finances sont chargés, chacun en ce qui le concerne, de l'exécution du présent décret gouvernemental qui sera publié au Journal Officiel de la République Tunisienne.</w:t>
      </w:r>
    </w:p>
    <w:p w14:paraId="37DC1EEC" w14:textId="59502D8D" w:rsidR="00CF24B8" w:rsidRPr="00E17A3C" w:rsidRDefault="003D1E3E" w:rsidP="00DF2450">
      <w:pPr>
        <w:tabs>
          <w:tab w:val="left" w:pos="795"/>
        </w:tabs>
        <w:spacing w:before="120" w:after="0" w:line="240" w:lineRule="auto"/>
        <w:ind w:left="284"/>
        <w:jc w:val="both"/>
        <w:rPr>
          <w:rFonts w:ascii="Arial" w:eastAsia="Times New Roman" w:hAnsi="Arial" w:cs="Arial"/>
          <w:b/>
          <w:bCs/>
          <w:sz w:val="20"/>
          <w:szCs w:val="20"/>
          <w:lang w:eastAsia="en-GB"/>
        </w:rPr>
      </w:pPr>
      <w:r w:rsidRPr="00E17A3C">
        <w:rPr>
          <w:rFonts w:ascii="Arial" w:eastAsia="Times New Roman" w:hAnsi="Arial" w:cs="Arial"/>
          <w:b/>
          <w:bCs/>
          <w:sz w:val="20"/>
          <w:szCs w:val="20"/>
          <w:lang w:eastAsia="en-GB"/>
        </w:rPr>
        <w:t>Tunis, le 17 juin 2019.</w:t>
      </w:r>
    </w:p>
    <w:sectPr w:rsidR="00CF24B8" w:rsidRPr="00E17A3C" w:rsidSect="00A24F23">
      <w:headerReference w:type="even" r:id="rId11"/>
      <w:headerReference w:type="default" r:id="rId12"/>
      <w:footerReference w:type="even" r:id="rId13"/>
      <w:footerReference w:type="defaul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8EB2" w14:textId="77777777" w:rsidR="008A6DFF" w:rsidRDefault="008A6DFF" w:rsidP="008F3F2D">
      <w:r>
        <w:separator/>
      </w:r>
    </w:p>
  </w:endnote>
  <w:endnote w:type="continuationSeparator" w:id="0">
    <w:p w14:paraId="0BE78119" w14:textId="77777777" w:rsidR="008A6DFF" w:rsidRDefault="008A6DF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276FA3" w:rsidRPr="00D55CDF" w:rsidRDefault="00276FA3">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276FA3" w:rsidRPr="00A00644" w:rsidRDefault="00276FA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276FA3" w:rsidRDefault="00276FA3"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1"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276FA3" w:rsidRPr="00A00644" w:rsidRDefault="00276FA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276FA3" w:rsidRDefault="00276FA3"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276FA3" w:rsidRDefault="00276FA3">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276FA3" w:rsidRPr="00A00644" w:rsidRDefault="00276FA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2"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276FA3" w:rsidRPr="00A00644" w:rsidRDefault="00276FA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14C8F" w14:textId="77777777" w:rsidR="008A6DFF" w:rsidRDefault="008A6DFF" w:rsidP="008F3F2D">
      <w:r>
        <w:separator/>
      </w:r>
    </w:p>
  </w:footnote>
  <w:footnote w:type="continuationSeparator" w:id="0">
    <w:p w14:paraId="4FD32C93" w14:textId="77777777" w:rsidR="008A6DFF" w:rsidRDefault="008A6DF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276FA3" w:rsidRDefault="00276FA3">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276FA3" w:rsidRDefault="00276FA3">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7"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276FA3" w:rsidRDefault="00276FA3">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276FA3" w:rsidRDefault="00276FA3" w:rsidP="0097472C">
                          <w:pPr>
                            <w:spacing w:after="0" w:line="240" w:lineRule="auto"/>
                            <w:ind w:left="567"/>
                            <w:rPr>
                              <w:rFonts w:ascii="Arial" w:eastAsia="Times New Roman" w:hAnsi="Arial" w:cs="Times New Roman"/>
                              <w:sz w:val="24"/>
                              <w:szCs w:val="24"/>
                            </w:rPr>
                          </w:pPr>
                        </w:p>
                        <w:p w14:paraId="0FF1D870" w14:textId="77777777" w:rsidR="00276FA3" w:rsidRPr="005F7BF4" w:rsidRDefault="00276FA3"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76FA3" w:rsidRPr="005F7BF4" w:rsidRDefault="00276FA3"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8"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276FA3" w:rsidRDefault="00276FA3" w:rsidP="0097472C">
                    <w:pPr>
                      <w:spacing w:after="0" w:line="240" w:lineRule="auto"/>
                      <w:ind w:left="567"/>
                      <w:rPr>
                        <w:rFonts w:ascii="Arial" w:eastAsia="Times New Roman" w:hAnsi="Arial" w:cs="Times New Roman"/>
                        <w:sz w:val="24"/>
                        <w:szCs w:val="24"/>
                      </w:rPr>
                    </w:pPr>
                  </w:p>
                  <w:p w14:paraId="0FF1D870" w14:textId="77777777" w:rsidR="00276FA3" w:rsidRPr="005F7BF4" w:rsidRDefault="00276FA3"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76FA3" w:rsidRPr="005F7BF4" w:rsidRDefault="00276FA3"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276FA3" w:rsidRDefault="00276FA3">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276FA3" w:rsidRDefault="00276FA3">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76FA3" w:rsidRPr="00C765D6" w:rsidRDefault="00276FA3">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9"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276FA3" w:rsidRDefault="00276FA3">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76FA3" w:rsidRPr="00C765D6" w:rsidRDefault="00276FA3">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276FA3" w:rsidRDefault="00276FA3" w:rsidP="002B1245">
                          <w:pPr>
                            <w:spacing w:after="0" w:line="20" w:lineRule="atLeast"/>
                            <w:ind w:left="567"/>
                            <w:jc w:val="right"/>
                            <w:rPr>
                              <w:rFonts w:ascii="Arial" w:eastAsia="Times New Roman" w:hAnsi="Arial" w:cs="Arial"/>
                              <w:sz w:val="24"/>
                              <w:szCs w:val="20"/>
                              <w:lang w:eastAsia="en-US"/>
                            </w:rPr>
                          </w:pPr>
                        </w:p>
                        <w:p w14:paraId="1AB74112" w14:textId="67010738" w:rsidR="00276FA3" w:rsidRPr="00317C84" w:rsidRDefault="00276FA3"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76FA3" w:rsidRPr="00317C84" w:rsidRDefault="00276FA3"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76FA3" w:rsidRPr="00D55CDF" w:rsidRDefault="00276FA3"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30"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276FA3" w:rsidRDefault="00276FA3" w:rsidP="002B1245">
                    <w:pPr>
                      <w:spacing w:after="0" w:line="20" w:lineRule="atLeast"/>
                      <w:ind w:left="567"/>
                      <w:jc w:val="right"/>
                      <w:rPr>
                        <w:rFonts w:ascii="Arial" w:eastAsia="Times New Roman" w:hAnsi="Arial" w:cs="Arial"/>
                        <w:sz w:val="24"/>
                        <w:szCs w:val="20"/>
                        <w:lang w:eastAsia="en-US"/>
                      </w:rPr>
                    </w:pPr>
                  </w:p>
                  <w:p w14:paraId="1AB74112" w14:textId="67010738" w:rsidR="00276FA3" w:rsidRPr="00317C84" w:rsidRDefault="00276FA3"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76FA3" w:rsidRPr="00317C84" w:rsidRDefault="00276FA3"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76FA3" w:rsidRPr="00D55CDF" w:rsidRDefault="00276FA3"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04D"/>
    <w:multiLevelType w:val="hybridMultilevel"/>
    <w:tmpl w:val="93549D86"/>
    <w:lvl w:ilvl="0" w:tplc="BD24AD88">
      <w:numFmt w:val="bullet"/>
      <w:lvlText w:val="̶"/>
      <w:lvlJc w:val="left"/>
      <w:pPr>
        <w:ind w:left="1724" w:hanging="360"/>
      </w:pPr>
      <w:rPr>
        <w:rFonts w:ascii="Calibri" w:eastAsiaTheme="minorEastAsia" w:hAnsi="Calibri"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15:restartNumberingAfterBreak="0">
    <w:nsid w:val="089206BC"/>
    <w:multiLevelType w:val="hybridMultilevel"/>
    <w:tmpl w:val="2C3ED5AC"/>
    <w:lvl w:ilvl="0" w:tplc="BD24AD88">
      <w:numFmt w:val="bullet"/>
      <w:lvlText w:val="̶"/>
      <w:lvlJc w:val="left"/>
      <w:pPr>
        <w:ind w:left="1003" w:hanging="360"/>
      </w:pPr>
      <w:rPr>
        <w:rFonts w:ascii="Calibri" w:eastAsiaTheme="minorEastAsia"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D1C1811"/>
    <w:multiLevelType w:val="hybridMultilevel"/>
    <w:tmpl w:val="FCE0E25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52B3485"/>
    <w:multiLevelType w:val="hybridMultilevel"/>
    <w:tmpl w:val="318E7046"/>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DCA00C0"/>
    <w:multiLevelType w:val="hybridMultilevel"/>
    <w:tmpl w:val="E9BA1A1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7AC291E"/>
    <w:multiLevelType w:val="hybridMultilevel"/>
    <w:tmpl w:val="20F25A96"/>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BE22E19"/>
    <w:multiLevelType w:val="hybridMultilevel"/>
    <w:tmpl w:val="6F7689A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C6E010A"/>
    <w:multiLevelType w:val="hybridMultilevel"/>
    <w:tmpl w:val="1B1A2FD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623398B"/>
    <w:multiLevelType w:val="hybridMultilevel"/>
    <w:tmpl w:val="971C7F6C"/>
    <w:lvl w:ilvl="0" w:tplc="7A6290BA">
      <w:numFmt w:val="bullet"/>
      <w:lvlText w:val="-"/>
      <w:lvlJc w:val="left"/>
      <w:pPr>
        <w:ind w:left="794" w:hanging="51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F9648B7"/>
    <w:multiLevelType w:val="hybridMultilevel"/>
    <w:tmpl w:val="65BC5842"/>
    <w:lvl w:ilvl="0" w:tplc="7A08F3D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63725D3B"/>
    <w:multiLevelType w:val="hybridMultilevel"/>
    <w:tmpl w:val="ED905DC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B2D7141"/>
    <w:multiLevelType w:val="hybridMultilevel"/>
    <w:tmpl w:val="57F0122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72B26AA2"/>
    <w:multiLevelType w:val="hybridMultilevel"/>
    <w:tmpl w:val="9736651A"/>
    <w:lvl w:ilvl="0" w:tplc="BD24AD88">
      <w:numFmt w:val="bullet"/>
      <w:lvlText w:val="̶"/>
      <w:lvlJc w:val="left"/>
      <w:pPr>
        <w:ind w:left="928"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5"/>
  </w:num>
  <w:num w:numId="6">
    <w:abstractNumId w:val="9"/>
  </w:num>
  <w:num w:numId="7">
    <w:abstractNumId w:val="12"/>
  </w:num>
  <w:num w:numId="8">
    <w:abstractNumId w:val="1"/>
  </w:num>
  <w:num w:numId="9">
    <w:abstractNumId w:val="11"/>
  </w:num>
  <w:num w:numId="10">
    <w:abstractNumId w:val="10"/>
  </w:num>
  <w:num w:numId="11">
    <w:abstractNumId w:val="0"/>
  </w:num>
  <w:num w:numId="12">
    <w:abstractNumId w:val="6"/>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2E10"/>
    <w:rsid w:val="000039A3"/>
    <w:rsid w:val="00006A31"/>
    <w:rsid w:val="00007F81"/>
    <w:rsid w:val="000414A7"/>
    <w:rsid w:val="000437B1"/>
    <w:rsid w:val="00052F4B"/>
    <w:rsid w:val="00062ECD"/>
    <w:rsid w:val="00072E7A"/>
    <w:rsid w:val="00075084"/>
    <w:rsid w:val="0007570B"/>
    <w:rsid w:val="00075B0B"/>
    <w:rsid w:val="00077529"/>
    <w:rsid w:val="00080BE3"/>
    <w:rsid w:val="00084049"/>
    <w:rsid w:val="00090183"/>
    <w:rsid w:val="000A7C5D"/>
    <w:rsid w:val="000B0D20"/>
    <w:rsid w:val="000B1494"/>
    <w:rsid w:val="000B3F6D"/>
    <w:rsid w:val="000C24FA"/>
    <w:rsid w:val="000C3437"/>
    <w:rsid w:val="000C3F27"/>
    <w:rsid w:val="000C60FD"/>
    <w:rsid w:val="000C7FAD"/>
    <w:rsid w:val="000D0DE1"/>
    <w:rsid w:val="000D0EE8"/>
    <w:rsid w:val="000E628E"/>
    <w:rsid w:val="00100A66"/>
    <w:rsid w:val="0010537F"/>
    <w:rsid w:val="0012450D"/>
    <w:rsid w:val="001323AC"/>
    <w:rsid w:val="00135F7E"/>
    <w:rsid w:val="00137334"/>
    <w:rsid w:val="001375FF"/>
    <w:rsid w:val="00141990"/>
    <w:rsid w:val="00152048"/>
    <w:rsid w:val="001552EC"/>
    <w:rsid w:val="00167394"/>
    <w:rsid w:val="00181B9C"/>
    <w:rsid w:val="00196DF4"/>
    <w:rsid w:val="001A0EA9"/>
    <w:rsid w:val="001A1A61"/>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2183"/>
    <w:rsid w:val="00215EF7"/>
    <w:rsid w:val="002259D0"/>
    <w:rsid w:val="002429CE"/>
    <w:rsid w:val="002454C0"/>
    <w:rsid w:val="00257BFC"/>
    <w:rsid w:val="0026678B"/>
    <w:rsid w:val="002672A1"/>
    <w:rsid w:val="00267DE1"/>
    <w:rsid w:val="002702C2"/>
    <w:rsid w:val="00276FA3"/>
    <w:rsid w:val="002B0FA2"/>
    <w:rsid w:val="002B1245"/>
    <w:rsid w:val="002B19EE"/>
    <w:rsid w:val="002C61B8"/>
    <w:rsid w:val="002D73AA"/>
    <w:rsid w:val="002D7F23"/>
    <w:rsid w:val="002F411C"/>
    <w:rsid w:val="003050B7"/>
    <w:rsid w:val="00312040"/>
    <w:rsid w:val="003125F1"/>
    <w:rsid w:val="003143FE"/>
    <w:rsid w:val="00322E7A"/>
    <w:rsid w:val="003324D8"/>
    <w:rsid w:val="003325E4"/>
    <w:rsid w:val="00333721"/>
    <w:rsid w:val="003338B9"/>
    <w:rsid w:val="0033511C"/>
    <w:rsid w:val="003452E0"/>
    <w:rsid w:val="003476E8"/>
    <w:rsid w:val="00354137"/>
    <w:rsid w:val="00356C00"/>
    <w:rsid w:val="00362106"/>
    <w:rsid w:val="00371B80"/>
    <w:rsid w:val="0037201C"/>
    <w:rsid w:val="003757FF"/>
    <w:rsid w:val="00383314"/>
    <w:rsid w:val="00385334"/>
    <w:rsid w:val="00397D37"/>
    <w:rsid w:val="003B0912"/>
    <w:rsid w:val="003B3225"/>
    <w:rsid w:val="003B363D"/>
    <w:rsid w:val="003B6CD4"/>
    <w:rsid w:val="003C1D4F"/>
    <w:rsid w:val="003D03D7"/>
    <w:rsid w:val="003D1E3E"/>
    <w:rsid w:val="003E6C89"/>
    <w:rsid w:val="003F00F5"/>
    <w:rsid w:val="003F4AF0"/>
    <w:rsid w:val="0040015B"/>
    <w:rsid w:val="00400161"/>
    <w:rsid w:val="00407197"/>
    <w:rsid w:val="00411738"/>
    <w:rsid w:val="00413360"/>
    <w:rsid w:val="0041715F"/>
    <w:rsid w:val="0042066F"/>
    <w:rsid w:val="0042092A"/>
    <w:rsid w:val="00433875"/>
    <w:rsid w:val="00436C7E"/>
    <w:rsid w:val="004402D7"/>
    <w:rsid w:val="004414FA"/>
    <w:rsid w:val="00477B22"/>
    <w:rsid w:val="004808F1"/>
    <w:rsid w:val="00481528"/>
    <w:rsid w:val="0049038D"/>
    <w:rsid w:val="0049058A"/>
    <w:rsid w:val="004977E0"/>
    <w:rsid w:val="004A56C9"/>
    <w:rsid w:val="004A6E4A"/>
    <w:rsid w:val="004D5CA0"/>
    <w:rsid w:val="004E246D"/>
    <w:rsid w:val="004E29AF"/>
    <w:rsid w:val="004E2CD2"/>
    <w:rsid w:val="004F2642"/>
    <w:rsid w:val="004F4EFA"/>
    <w:rsid w:val="004F6564"/>
    <w:rsid w:val="00503E5A"/>
    <w:rsid w:val="00510021"/>
    <w:rsid w:val="005210E6"/>
    <w:rsid w:val="0052779B"/>
    <w:rsid w:val="00545C63"/>
    <w:rsid w:val="00552E40"/>
    <w:rsid w:val="00567E0F"/>
    <w:rsid w:val="00584322"/>
    <w:rsid w:val="00592419"/>
    <w:rsid w:val="00594F5D"/>
    <w:rsid w:val="00595DBD"/>
    <w:rsid w:val="005B0922"/>
    <w:rsid w:val="005B71D8"/>
    <w:rsid w:val="005D262A"/>
    <w:rsid w:val="005E40EA"/>
    <w:rsid w:val="005E7CA9"/>
    <w:rsid w:val="005F7BF4"/>
    <w:rsid w:val="00600567"/>
    <w:rsid w:val="0060594F"/>
    <w:rsid w:val="00610C68"/>
    <w:rsid w:val="00617070"/>
    <w:rsid w:val="0062563C"/>
    <w:rsid w:val="006329CB"/>
    <w:rsid w:val="006353B0"/>
    <w:rsid w:val="00644735"/>
    <w:rsid w:val="00655DBD"/>
    <w:rsid w:val="00660423"/>
    <w:rsid w:val="00661542"/>
    <w:rsid w:val="006655B4"/>
    <w:rsid w:val="00674698"/>
    <w:rsid w:val="00681F70"/>
    <w:rsid w:val="0068269F"/>
    <w:rsid w:val="006831C9"/>
    <w:rsid w:val="00684129"/>
    <w:rsid w:val="0068636F"/>
    <w:rsid w:val="006906FF"/>
    <w:rsid w:val="00691B9D"/>
    <w:rsid w:val="00693D24"/>
    <w:rsid w:val="006A57CB"/>
    <w:rsid w:val="006B5CBB"/>
    <w:rsid w:val="006C0270"/>
    <w:rsid w:val="006C6F54"/>
    <w:rsid w:val="006D5CA8"/>
    <w:rsid w:val="006E4A2C"/>
    <w:rsid w:val="006E67E9"/>
    <w:rsid w:val="006F3053"/>
    <w:rsid w:val="00703C25"/>
    <w:rsid w:val="0071170F"/>
    <w:rsid w:val="007244D3"/>
    <w:rsid w:val="00740CB6"/>
    <w:rsid w:val="007418B5"/>
    <w:rsid w:val="0074252B"/>
    <w:rsid w:val="00745768"/>
    <w:rsid w:val="007525D4"/>
    <w:rsid w:val="0075404E"/>
    <w:rsid w:val="0076124E"/>
    <w:rsid w:val="00764429"/>
    <w:rsid w:val="00765520"/>
    <w:rsid w:val="007671D5"/>
    <w:rsid w:val="0078080B"/>
    <w:rsid w:val="007A76E8"/>
    <w:rsid w:val="007B3772"/>
    <w:rsid w:val="007C0FBD"/>
    <w:rsid w:val="007C4940"/>
    <w:rsid w:val="007D594C"/>
    <w:rsid w:val="007E0EF3"/>
    <w:rsid w:val="007E1902"/>
    <w:rsid w:val="007E7F34"/>
    <w:rsid w:val="007F3EDD"/>
    <w:rsid w:val="007F7D73"/>
    <w:rsid w:val="0081344C"/>
    <w:rsid w:val="008220A3"/>
    <w:rsid w:val="008341E1"/>
    <w:rsid w:val="00846ED4"/>
    <w:rsid w:val="00847F00"/>
    <w:rsid w:val="00852F43"/>
    <w:rsid w:val="00855321"/>
    <w:rsid w:val="00864CEA"/>
    <w:rsid w:val="00866B4E"/>
    <w:rsid w:val="00874D56"/>
    <w:rsid w:val="00874F3E"/>
    <w:rsid w:val="00876053"/>
    <w:rsid w:val="0089552E"/>
    <w:rsid w:val="008A1F18"/>
    <w:rsid w:val="008A4F19"/>
    <w:rsid w:val="008A6DFF"/>
    <w:rsid w:val="008B1C54"/>
    <w:rsid w:val="008B3D28"/>
    <w:rsid w:val="008B4B90"/>
    <w:rsid w:val="008C3FC3"/>
    <w:rsid w:val="008D32EB"/>
    <w:rsid w:val="008E7D4E"/>
    <w:rsid w:val="008F3F2D"/>
    <w:rsid w:val="00901BBF"/>
    <w:rsid w:val="00910EDC"/>
    <w:rsid w:val="00911CFA"/>
    <w:rsid w:val="00915071"/>
    <w:rsid w:val="009157FD"/>
    <w:rsid w:val="0092203D"/>
    <w:rsid w:val="0093203B"/>
    <w:rsid w:val="00933428"/>
    <w:rsid w:val="009422A3"/>
    <w:rsid w:val="00942396"/>
    <w:rsid w:val="00942AAE"/>
    <w:rsid w:val="009432D0"/>
    <w:rsid w:val="0095423F"/>
    <w:rsid w:val="00957CDF"/>
    <w:rsid w:val="00957F0E"/>
    <w:rsid w:val="00971836"/>
    <w:rsid w:val="009736FB"/>
    <w:rsid w:val="0097472C"/>
    <w:rsid w:val="00974E57"/>
    <w:rsid w:val="00974E7D"/>
    <w:rsid w:val="00984936"/>
    <w:rsid w:val="00993EF9"/>
    <w:rsid w:val="009A3F00"/>
    <w:rsid w:val="009B08B3"/>
    <w:rsid w:val="009B14E0"/>
    <w:rsid w:val="009B2030"/>
    <w:rsid w:val="009C062C"/>
    <w:rsid w:val="009C5224"/>
    <w:rsid w:val="009E055F"/>
    <w:rsid w:val="009E1E33"/>
    <w:rsid w:val="009E45D0"/>
    <w:rsid w:val="009E5CD4"/>
    <w:rsid w:val="009F0CA4"/>
    <w:rsid w:val="00A004D6"/>
    <w:rsid w:val="00A00644"/>
    <w:rsid w:val="00A02FE2"/>
    <w:rsid w:val="00A0369D"/>
    <w:rsid w:val="00A04F09"/>
    <w:rsid w:val="00A223C5"/>
    <w:rsid w:val="00A23AAD"/>
    <w:rsid w:val="00A24F23"/>
    <w:rsid w:val="00A27FB7"/>
    <w:rsid w:val="00A629D6"/>
    <w:rsid w:val="00A6497C"/>
    <w:rsid w:val="00A67E04"/>
    <w:rsid w:val="00A67F80"/>
    <w:rsid w:val="00A712BF"/>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3AC0"/>
    <w:rsid w:val="00AE77ED"/>
    <w:rsid w:val="00AE7C87"/>
    <w:rsid w:val="00AF0210"/>
    <w:rsid w:val="00AF1ECF"/>
    <w:rsid w:val="00AF2478"/>
    <w:rsid w:val="00B00C9D"/>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BA778D"/>
    <w:rsid w:val="00BC35AC"/>
    <w:rsid w:val="00BF770C"/>
    <w:rsid w:val="00C00FC8"/>
    <w:rsid w:val="00C068A7"/>
    <w:rsid w:val="00C13B06"/>
    <w:rsid w:val="00C16105"/>
    <w:rsid w:val="00C1635D"/>
    <w:rsid w:val="00C24D4A"/>
    <w:rsid w:val="00C26110"/>
    <w:rsid w:val="00C26C82"/>
    <w:rsid w:val="00C33D1B"/>
    <w:rsid w:val="00C454C0"/>
    <w:rsid w:val="00C5594B"/>
    <w:rsid w:val="00C55E5A"/>
    <w:rsid w:val="00C61994"/>
    <w:rsid w:val="00C64B86"/>
    <w:rsid w:val="00C65B15"/>
    <w:rsid w:val="00C70829"/>
    <w:rsid w:val="00C765D6"/>
    <w:rsid w:val="00C7781C"/>
    <w:rsid w:val="00C912C1"/>
    <w:rsid w:val="00C95885"/>
    <w:rsid w:val="00C96D77"/>
    <w:rsid w:val="00CA3D64"/>
    <w:rsid w:val="00CA544B"/>
    <w:rsid w:val="00CC4ADF"/>
    <w:rsid w:val="00CD19DF"/>
    <w:rsid w:val="00CD28AE"/>
    <w:rsid w:val="00CD68B2"/>
    <w:rsid w:val="00CD6FD5"/>
    <w:rsid w:val="00CE2865"/>
    <w:rsid w:val="00CF24B8"/>
    <w:rsid w:val="00CF3F11"/>
    <w:rsid w:val="00CF4C77"/>
    <w:rsid w:val="00D068BD"/>
    <w:rsid w:val="00D07749"/>
    <w:rsid w:val="00D07FE9"/>
    <w:rsid w:val="00D1177F"/>
    <w:rsid w:val="00D2002F"/>
    <w:rsid w:val="00D269BF"/>
    <w:rsid w:val="00D274F6"/>
    <w:rsid w:val="00D34898"/>
    <w:rsid w:val="00D36176"/>
    <w:rsid w:val="00D501BD"/>
    <w:rsid w:val="00D53BD2"/>
    <w:rsid w:val="00D55340"/>
    <w:rsid w:val="00D55CDF"/>
    <w:rsid w:val="00D566AB"/>
    <w:rsid w:val="00D65949"/>
    <w:rsid w:val="00D67AE0"/>
    <w:rsid w:val="00D816BB"/>
    <w:rsid w:val="00D82E62"/>
    <w:rsid w:val="00DA1767"/>
    <w:rsid w:val="00DA3A1F"/>
    <w:rsid w:val="00DB63C0"/>
    <w:rsid w:val="00DC4590"/>
    <w:rsid w:val="00DC5ABD"/>
    <w:rsid w:val="00DD4D60"/>
    <w:rsid w:val="00DE3C3D"/>
    <w:rsid w:val="00DF2450"/>
    <w:rsid w:val="00E10A35"/>
    <w:rsid w:val="00E15436"/>
    <w:rsid w:val="00E15D2C"/>
    <w:rsid w:val="00E17A3C"/>
    <w:rsid w:val="00E220ED"/>
    <w:rsid w:val="00E36CE6"/>
    <w:rsid w:val="00E55A17"/>
    <w:rsid w:val="00E57DAB"/>
    <w:rsid w:val="00E666BF"/>
    <w:rsid w:val="00E70DF8"/>
    <w:rsid w:val="00E7316D"/>
    <w:rsid w:val="00E846EE"/>
    <w:rsid w:val="00E9240E"/>
    <w:rsid w:val="00E9341A"/>
    <w:rsid w:val="00E94C73"/>
    <w:rsid w:val="00E953A2"/>
    <w:rsid w:val="00EB22C7"/>
    <w:rsid w:val="00EB590F"/>
    <w:rsid w:val="00EB7490"/>
    <w:rsid w:val="00ED3010"/>
    <w:rsid w:val="00ED7568"/>
    <w:rsid w:val="00EE32FB"/>
    <w:rsid w:val="00EE3931"/>
    <w:rsid w:val="00EF16C9"/>
    <w:rsid w:val="00F23119"/>
    <w:rsid w:val="00F25871"/>
    <w:rsid w:val="00F321E9"/>
    <w:rsid w:val="00F45025"/>
    <w:rsid w:val="00F545F7"/>
    <w:rsid w:val="00F5482F"/>
    <w:rsid w:val="00F57B75"/>
    <w:rsid w:val="00F62055"/>
    <w:rsid w:val="00F63D39"/>
    <w:rsid w:val="00F86EC4"/>
    <w:rsid w:val="00F871D9"/>
    <w:rsid w:val="00F90A71"/>
    <w:rsid w:val="00F9200E"/>
    <w:rsid w:val="00FB1EE6"/>
    <w:rsid w:val="00FB20AD"/>
    <w:rsid w:val="00FC05E3"/>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201132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law/1045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slation-securite.tn/fr/law/41686" TargetMode="External"/><Relationship Id="rId4" Type="http://schemas.openxmlformats.org/officeDocument/2006/relationships/settings" Target="settings.xml"/><Relationship Id="rId9" Type="http://schemas.openxmlformats.org/officeDocument/2006/relationships/hyperlink" Target="https://legislation-securite.tn/law/10459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7E48-30A3-4EB9-8E4A-609D6ACB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2960</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4</cp:revision>
  <cp:lastPrinted>2021-11-17T14:03:00Z</cp:lastPrinted>
  <dcterms:created xsi:type="dcterms:W3CDTF">2021-11-17T14:02:00Z</dcterms:created>
  <dcterms:modified xsi:type="dcterms:W3CDTF">2021-11-17T14:03:00Z</dcterms:modified>
</cp:coreProperties>
</file>