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04" w:rsidRDefault="00E37504" w:rsidP="003300E0">
      <w:pPr>
        <w:spacing w:after="0" w:line="240" w:lineRule="auto"/>
        <w:ind w:left="283"/>
        <w:rPr>
          <w:rFonts w:ascii="Arial" w:hAnsi="Arial"/>
          <w:b/>
          <w:bCs/>
          <w:sz w:val="24"/>
          <w:szCs w:val="24"/>
        </w:rPr>
      </w:pPr>
      <w:r w:rsidRPr="00E37504">
        <w:rPr>
          <w:rFonts w:ascii="Arial" w:hAnsi="Arial"/>
          <w:b/>
          <w:bCs/>
          <w:sz w:val="24"/>
          <w:szCs w:val="24"/>
        </w:rPr>
        <w:t>Décret gouvernemental n° 2016-296 du 11 mars 2016, portant délégation de certaines prérogatives du chef du gouvernement au ministre de la défense nationale</w:t>
      </w:r>
    </w:p>
    <w:p w:rsidR="003300E0" w:rsidRPr="00E37504" w:rsidRDefault="003300E0" w:rsidP="003300E0">
      <w:pPr>
        <w:spacing w:after="0" w:line="240" w:lineRule="auto"/>
        <w:ind w:left="283"/>
        <w:rPr>
          <w:rFonts w:ascii="Arial" w:hAnsi="Arial"/>
          <w:b/>
          <w:bCs/>
          <w:sz w:val="24"/>
          <w:szCs w:val="24"/>
        </w:rPr>
      </w:pPr>
    </w:p>
    <w:p w:rsid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Le chef du gouvernement,</w:t>
      </w:r>
    </w:p>
    <w:p w:rsidR="003300E0" w:rsidRPr="00E37504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la constitution et notamment son article 92,</w:t>
      </w:r>
    </w:p>
    <w:p w:rsidR="003300E0" w:rsidRPr="00E37504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 xml:space="preserve">Vu la loi n° 67-20 du 31 mai 1967, portant statut général des militaires, ensemble les textes qui l'ont modifiée ou complétée et notamment la loi n° 2009-47 du 8 juillet 2009, </w:t>
      </w:r>
    </w:p>
    <w:p w:rsidR="003300E0" w:rsidRPr="00E37504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la loi n° 83-112 du 12 décembre 1983, portant statut général des personnels de l’Etat, des collectivités locales et des établissements publics à caractère administratif, ensemble les textes qui l'ont modifiée ou complétée et notamment le décret-loi n° 2011-89 du 23 septembre 2011,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la loi n° 85-12 du 5 mars 1985, portant régime des pensions civiles et militaires de retraite et des survivants dans le secteur public, ensemble les textes qui l'ont modifiée ou complétée et notamment le décret-loi n° 2011-48 du 4 juin 2011,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la loi n° 2015-32 du 17 août 2015, portant fixation des emplois supérieurs conformément aux dispositions de l'article 78 de la constitution,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 xml:space="preserve">Vu le décret n° 2006-1245 du 24 avril 2006, fixant les conditions d'attribution et de retrait des emplois fonctionnels d'administration centrale, 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le décret Présidentiel n° 2015-35 du 6 février 2016, portant nomination du chef du gouvernement et de ses membres,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le décret Présidentiel n° 2016-1 du 12 janvier 2016, portant nomination des membres du gouvernement,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Vu l’avis du tribunal administratif.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Prend le décret gouvernemental dont la teneur suit :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b/>
          <w:bCs/>
          <w:i/>
          <w:iCs/>
          <w:sz w:val="20"/>
          <w:szCs w:val="20"/>
        </w:rPr>
      </w:pPr>
    </w:p>
    <w:p w:rsidR="00E37504" w:rsidRPr="00E37504" w:rsidRDefault="00E37504" w:rsidP="003300E0">
      <w:pPr>
        <w:spacing w:before="120"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>
        <w:rPr>
          <w:rFonts w:ascii="Arial" w:hAnsi="Arial"/>
          <w:sz w:val="20"/>
          <w:szCs w:val="20"/>
        </w:rPr>
        <w:t xml:space="preserve"> – </w:t>
      </w:r>
      <w:r w:rsidRPr="00E37504">
        <w:rPr>
          <w:rFonts w:ascii="Arial" w:hAnsi="Arial"/>
          <w:sz w:val="20"/>
          <w:szCs w:val="20"/>
        </w:rPr>
        <w:t>Conformément aux dispositions de l’article 92 de la constitution, le chef du gouvernement délègue au ministre de la défense nationale les prérogatives suivantes :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Prendre les arrêtés relatifs à la nomination des membres des jurys de l’examen des concours externes pour le recrutement et les concours pour l’accès aux cycles de formation relevant du ministère de la défense nationale,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Prendre les arrêtés relatifs à la nomination des membres des jurys de l’examen des concours internes et des examens professionnels pour la promotion relevant du ministère de la défense nationale,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La nomination des agents relevant du ministère de la défense nationale dans les emplois fonctionnels autres que ceux prévus à l’article 3 de la loi n° 2015-32 du 17 août 2015, portant fixation des emplois supérieurs conformément aux dispositions de l'article 78 de la constitution,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 xml:space="preserve">Prendre les arrêtés relatifs au détachement auprès de l’agence tunisienne de coopération technique, au renouvellement et à la cessation. 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 xml:space="preserve">Prendre les arrêtés relatifs à la mise en disponibilité spéciale, au renouvellement et à la cessation. 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 xml:space="preserve">Prendre les arrêtés de nomination dans les grades du corps des gestionnaires de documents et </w:t>
      </w:r>
      <w:bookmarkStart w:id="0" w:name="_GoBack"/>
      <w:bookmarkEnd w:id="0"/>
      <w:r w:rsidRPr="00E37504">
        <w:rPr>
          <w:rFonts w:ascii="Arial" w:hAnsi="Arial"/>
          <w:sz w:val="20"/>
          <w:szCs w:val="20"/>
        </w:rPr>
        <w:t>d’archives,</w:t>
      </w:r>
    </w:p>
    <w:p w:rsidR="00E37504" w:rsidRPr="00E37504" w:rsidRDefault="00E37504" w:rsidP="003300E0">
      <w:pPr>
        <w:pStyle w:val="Paragraphedeliste"/>
        <w:numPr>
          <w:ilvl w:val="0"/>
          <w:numId w:val="41"/>
        </w:numPr>
        <w:spacing w:before="120" w:after="0" w:line="240" w:lineRule="auto"/>
        <w:ind w:left="927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sz w:val="20"/>
          <w:szCs w:val="20"/>
        </w:rPr>
        <w:t>Prendre les arrêtés relatifs au maintien en activité pour compléter la condition de stage requis pour l’ouverture de droit à la pension de retraite.</w:t>
      </w:r>
    </w:p>
    <w:p w:rsidR="003300E0" w:rsidRDefault="003300E0" w:rsidP="003300E0">
      <w:pPr>
        <w:spacing w:after="0" w:line="240" w:lineRule="auto"/>
        <w:ind w:left="283"/>
        <w:rPr>
          <w:rFonts w:ascii="Arial" w:hAnsi="Arial"/>
          <w:b/>
          <w:bCs/>
          <w:i/>
          <w:iCs/>
          <w:sz w:val="20"/>
          <w:szCs w:val="20"/>
        </w:rPr>
      </w:pPr>
    </w:p>
    <w:p w:rsidR="00E37504" w:rsidRPr="00E37504" w:rsidRDefault="00E37504" w:rsidP="003300E0">
      <w:pPr>
        <w:spacing w:after="0" w:line="240" w:lineRule="auto"/>
        <w:ind w:left="283"/>
        <w:rPr>
          <w:rFonts w:ascii="Arial" w:hAnsi="Arial"/>
          <w:sz w:val="20"/>
          <w:szCs w:val="20"/>
        </w:rPr>
      </w:pPr>
      <w:r w:rsidRPr="00E37504">
        <w:rPr>
          <w:rFonts w:ascii="Arial" w:hAnsi="Arial"/>
          <w:b/>
          <w:bCs/>
          <w:i/>
          <w:iCs/>
          <w:sz w:val="20"/>
          <w:szCs w:val="20"/>
        </w:rPr>
        <w:t>Art. 2</w:t>
      </w:r>
      <w:r w:rsidRPr="00E37504">
        <w:rPr>
          <w:rFonts w:ascii="Arial" w:hAnsi="Arial"/>
          <w:b/>
          <w:bCs/>
          <w:i/>
          <w:iCs/>
          <w:sz w:val="20"/>
          <w:szCs w:val="20"/>
        </w:rPr>
        <w:t xml:space="preserve"> – </w:t>
      </w:r>
      <w:r w:rsidRPr="00E37504">
        <w:rPr>
          <w:rFonts w:ascii="Arial" w:hAnsi="Arial"/>
          <w:sz w:val="20"/>
          <w:szCs w:val="20"/>
        </w:rPr>
        <w:t>Le ministre de la défense nationale est chargé de l’exécution du présent décret gouvernemental qui sera publié au Journal Officiel de la République Tunisienne.</w:t>
      </w:r>
    </w:p>
    <w:p w:rsidR="003300E0" w:rsidRDefault="003300E0" w:rsidP="003300E0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</w:p>
    <w:p w:rsidR="00A72321" w:rsidRPr="00E37504" w:rsidRDefault="00E37504" w:rsidP="003300E0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  <w:r w:rsidRPr="00E37504">
        <w:rPr>
          <w:rFonts w:ascii="Arial" w:hAnsi="Arial"/>
          <w:b/>
          <w:bCs/>
          <w:sz w:val="20"/>
          <w:szCs w:val="20"/>
        </w:rPr>
        <w:t>Tunis, le 11 mars 2016.</w:t>
      </w:r>
    </w:p>
    <w:sectPr w:rsidR="00A72321" w:rsidRPr="00E37504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F8" w:rsidRDefault="001B5BF8" w:rsidP="008F3F2D">
      <w:r>
        <w:separator/>
      </w:r>
    </w:p>
  </w:endnote>
  <w:endnote w:type="continuationSeparator" w:id="0">
    <w:p w:rsidR="001B5BF8" w:rsidRDefault="001B5BF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B12549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00E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737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00E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737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B1254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5BF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5BF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BF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BF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F8" w:rsidRDefault="001B5BF8" w:rsidP="008F3F2D">
      <w:r>
        <w:separator/>
      </w:r>
    </w:p>
  </w:footnote>
  <w:footnote w:type="continuationSeparator" w:id="0">
    <w:p w:rsidR="001B5BF8" w:rsidRDefault="001B5BF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B125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B125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621D7C"/>
    <w:multiLevelType w:val="hybridMultilevel"/>
    <w:tmpl w:val="8DC06B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2324895"/>
    <w:multiLevelType w:val="hybridMultilevel"/>
    <w:tmpl w:val="72522A86"/>
    <w:lvl w:ilvl="0" w:tplc="2A74EFE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A707659"/>
    <w:multiLevelType w:val="hybridMultilevel"/>
    <w:tmpl w:val="02445B8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9F57EB"/>
    <w:multiLevelType w:val="hybridMultilevel"/>
    <w:tmpl w:val="EE92D888"/>
    <w:lvl w:ilvl="0" w:tplc="318C29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24"/>
  </w:num>
  <w:num w:numId="5">
    <w:abstractNumId w:val="26"/>
  </w:num>
  <w:num w:numId="6">
    <w:abstractNumId w:val="33"/>
  </w:num>
  <w:num w:numId="7">
    <w:abstractNumId w:val="0"/>
  </w:num>
  <w:num w:numId="8">
    <w:abstractNumId w:val="18"/>
  </w:num>
  <w:num w:numId="9">
    <w:abstractNumId w:val="7"/>
  </w:num>
  <w:num w:numId="10">
    <w:abstractNumId w:val="34"/>
  </w:num>
  <w:num w:numId="11">
    <w:abstractNumId w:val="30"/>
  </w:num>
  <w:num w:numId="12">
    <w:abstractNumId w:val="28"/>
  </w:num>
  <w:num w:numId="13">
    <w:abstractNumId w:val="14"/>
  </w:num>
  <w:num w:numId="14">
    <w:abstractNumId w:val="21"/>
  </w:num>
  <w:num w:numId="15">
    <w:abstractNumId w:val="2"/>
  </w:num>
  <w:num w:numId="16">
    <w:abstractNumId w:val="38"/>
  </w:num>
  <w:num w:numId="17">
    <w:abstractNumId w:val="23"/>
  </w:num>
  <w:num w:numId="18">
    <w:abstractNumId w:val="41"/>
  </w:num>
  <w:num w:numId="19">
    <w:abstractNumId w:val="12"/>
  </w:num>
  <w:num w:numId="20">
    <w:abstractNumId w:val="19"/>
  </w:num>
  <w:num w:numId="21">
    <w:abstractNumId w:val="15"/>
  </w:num>
  <w:num w:numId="22">
    <w:abstractNumId w:val="35"/>
  </w:num>
  <w:num w:numId="23">
    <w:abstractNumId w:val="31"/>
  </w:num>
  <w:num w:numId="24">
    <w:abstractNumId w:val="20"/>
  </w:num>
  <w:num w:numId="25">
    <w:abstractNumId w:val="6"/>
  </w:num>
  <w:num w:numId="26">
    <w:abstractNumId w:val="36"/>
  </w:num>
  <w:num w:numId="27">
    <w:abstractNumId w:val="40"/>
  </w:num>
  <w:num w:numId="28">
    <w:abstractNumId w:val="4"/>
  </w:num>
  <w:num w:numId="29">
    <w:abstractNumId w:val="29"/>
  </w:num>
  <w:num w:numId="30">
    <w:abstractNumId w:val="39"/>
  </w:num>
  <w:num w:numId="31">
    <w:abstractNumId w:val="11"/>
  </w:num>
  <w:num w:numId="32">
    <w:abstractNumId w:val="17"/>
  </w:num>
  <w:num w:numId="33">
    <w:abstractNumId w:val="16"/>
  </w:num>
  <w:num w:numId="34">
    <w:abstractNumId w:val="9"/>
  </w:num>
  <w:num w:numId="35">
    <w:abstractNumId w:val="37"/>
  </w:num>
  <w:num w:numId="36">
    <w:abstractNumId w:val="25"/>
  </w:num>
  <w:num w:numId="37">
    <w:abstractNumId w:val="3"/>
  </w:num>
  <w:num w:numId="38">
    <w:abstractNumId w:val="32"/>
  </w:num>
  <w:num w:numId="39">
    <w:abstractNumId w:val="13"/>
  </w:num>
  <w:num w:numId="40">
    <w:abstractNumId w:val="10"/>
  </w:num>
  <w:num w:numId="41">
    <w:abstractNumId w:val="1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B5BF8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00E0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3C43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C61BE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27370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2549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37504"/>
    <w:rsid w:val="00E55A17"/>
    <w:rsid w:val="00E57DAB"/>
    <w:rsid w:val="00E66786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12670"/>
  <w15:docId w15:val="{84A9A984-7EC8-45A5-85BB-6912577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1E03-F254-4495-A968-3BE132FC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7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4</cp:revision>
  <cp:lastPrinted>2018-02-05T09:20:00Z</cp:lastPrinted>
  <dcterms:created xsi:type="dcterms:W3CDTF">2018-02-05T09:20:00Z</dcterms:created>
  <dcterms:modified xsi:type="dcterms:W3CDTF">2018-02-05T09:26:00Z</dcterms:modified>
</cp:coreProperties>
</file>