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6CEA" w14:textId="71064921" w:rsidR="003743A4" w:rsidRPr="003743A4" w:rsidRDefault="003743A4" w:rsidP="003743A4">
      <w:pPr>
        <w:spacing w:after="0" w:line="240" w:lineRule="auto"/>
        <w:ind w:left="284"/>
        <w:jc w:val="both"/>
        <w:rPr>
          <w:rFonts w:ascii="Arial" w:hAnsi="Arial" w:cs="Arial"/>
          <w:b/>
          <w:bCs/>
          <w:sz w:val="24"/>
          <w:szCs w:val="24"/>
        </w:rPr>
      </w:pPr>
      <w:bookmarkStart w:id="0" w:name="_GoBack"/>
      <w:r w:rsidRPr="003743A4">
        <w:rPr>
          <w:rFonts w:ascii="Arial" w:hAnsi="Arial" w:cs="Arial"/>
          <w:b/>
          <w:bCs/>
          <w:sz w:val="24"/>
          <w:szCs w:val="24"/>
        </w:rPr>
        <w:t>Décret gouvernemental n° 2015-1777 du 25 novembre 2015</w:t>
      </w:r>
      <w:bookmarkEnd w:id="0"/>
      <w:r w:rsidRPr="003743A4">
        <w:rPr>
          <w:rFonts w:ascii="Arial" w:hAnsi="Arial" w:cs="Arial"/>
          <w:b/>
          <w:bCs/>
          <w:sz w:val="24"/>
          <w:szCs w:val="24"/>
        </w:rPr>
        <w:t xml:space="preserve">, portant organisation de la commission nationale de lutte contre le terrorisme et </w:t>
      </w:r>
      <w:r w:rsidRPr="003743A4">
        <w:rPr>
          <w:rFonts w:ascii="Arial" w:hAnsi="Arial" w:cs="Arial"/>
          <w:b/>
          <w:bCs/>
          <w:sz w:val="24"/>
          <w:szCs w:val="24"/>
        </w:rPr>
        <w:t>ses modalités de fonctionnement</w:t>
      </w:r>
    </w:p>
    <w:p w14:paraId="19307C70" w14:textId="5D45B195" w:rsidR="003743A4" w:rsidRPr="003743A4" w:rsidRDefault="003743A4" w:rsidP="003743A4">
      <w:pPr>
        <w:spacing w:after="0" w:line="240" w:lineRule="auto"/>
        <w:ind w:left="284"/>
        <w:jc w:val="both"/>
        <w:rPr>
          <w:rFonts w:ascii="Arial" w:hAnsi="Arial" w:cs="Arial"/>
          <w:sz w:val="20"/>
          <w:szCs w:val="20"/>
        </w:rPr>
      </w:pPr>
    </w:p>
    <w:p w14:paraId="55BA93FE" w14:textId="77777777" w:rsidR="003743A4" w:rsidRPr="003743A4" w:rsidRDefault="003743A4" w:rsidP="003743A4">
      <w:pPr>
        <w:spacing w:after="0" w:line="240" w:lineRule="auto"/>
        <w:ind w:left="284"/>
        <w:jc w:val="both"/>
        <w:rPr>
          <w:rFonts w:ascii="Arial" w:hAnsi="Arial" w:cs="Arial"/>
          <w:sz w:val="20"/>
          <w:szCs w:val="20"/>
        </w:rPr>
      </w:pPr>
    </w:p>
    <w:p w14:paraId="7A913AC6" w14:textId="147C0E8C"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sz w:val="20"/>
          <w:szCs w:val="20"/>
        </w:rPr>
        <w:t xml:space="preserve">Le chef du gouvernement, </w:t>
      </w:r>
    </w:p>
    <w:p w14:paraId="7646D51E" w14:textId="77777777" w:rsidR="003743A4" w:rsidRPr="003743A4" w:rsidRDefault="003743A4" w:rsidP="003743A4">
      <w:pPr>
        <w:spacing w:after="0" w:line="240" w:lineRule="auto"/>
        <w:ind w:left="284"/>
        <w:jc w:val="both"/>
        <w:rPr>
          <w:rFonts w:ascii="Arial" w:hAnsi="Arial" w:cs="Arial"/>
          <w:sz w:val="20"/>
          <w:szCs w:val="20"/>
        </w:rPr>
      </w:pPr>
    </w:p>
    <w:p w14:paraId="3088C22E" w14:textId="77777777"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sz w:val="20"/>
          <w:szCs w:val="20"/>
        </w:rPr>
        <w:t>Vu la constitution,</w:t>
      </w:r>
    </w:p>
    <w:p w14:paraId="07860006" w14:textId="77777777" w:rsidR="003743A4" w:rsidRPr="003743A4" w:rsidRDefault="003743A4" w:rsidP="003743A4">
      <w:pPr>
        <w:spacing w:after="0" w:line="240" w:lineRule="auto"/>
        <w:ind w:left="284"/>
        <w:jc w:val="both"/>
        <w:rPr>
          <w:rFonts w:ascii="Arial" w:hAnsi="Arial" w:cs="Arial"/>
          <w:sz w:val="20"/>
          <w:szCs w:val="20"/>
        </w:rPr>
      </w:pPr>
    </w:p>
    <w:p w14:paraId="098E291E" w14:textId="517EC630"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sz w:val="20"/>
          <w:szCs w:val="20"/>
        </w:rPr>
        <w:t>Vu la loi n° 2015-26 du 7 août 2015, relative à la lutte contre le terrorisme et la répression du blanchiment d’argent, notamment ses articles 66 et 67,</w:t>
      </w:r>
    </w:p>
    <w:p w14:paraId="11B1595B" w14:textId="77777777" w:rsidR="003743A4" w:rsidRPr="003743A4" w:rsidRDefault="003743A4" w:rsidP="003743A4">
      <w:pPr>
        <w:spacing w:after="0" w:line="240" w:lineRule="auto"/>
        <w:ind w:left="284"/>
        <w:jc w:val="both"/>
        <w:rPr>
          <w:rFonts w:ascii="Arial" w:hAnsi="Arial" w:cs="Arial"/>
          <w:sz w:val="20"/>
          <w:szCs w:val="20"/>
        </w:rPr>
      </w:pPr>
    </w:p>
    <w:p w14:paraId="2DCC2589" w14:textId="0BFD5BA4"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sz w:val="20"/>
          <w:szCs w:val="20"/>
        </w:rPr>
        <w:t>Vu le décret Présidentiel n° 2015-35 du 6 février 2015, portant nomination du chef du gouvernement et de ses membres,</w:t>
      </w:r>
    </w:p>
    <w:p w14:paraId="4AE14571" w14:textId="77777777" w:rsidR="003743A4" w:rsidRPr="003743A4" w:rsidRDefault="003743A4" w:rsidP="003743A4">
      <w:pPr>
        <w:spacing w:after="0" w:line="240" w:lineRule="auto"/>
        <w:ind w:left="284"/>
        <w:jc w:val="both"/>
        <w:rPr>
          <w:rFonts w:ascii="Arial" w:hAnsi="Arial" w:cs="Arial"/>
          <w:sz w:val="20"/>
          <w:szCs w:val="20"/>
        </w:rPr>
      </w:pPr>
    </w:p>
    <w:p w14:paraId="0BC8D71C" w14:textId="54A4A1D5"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sz w:val="20"/>
          <w:szCs w:val="20"/>
        </w:rPr>
        <w:t xml:space="preserve">Vu l’avis du tribunal administratif, </w:t>
      </w:r>
    </w:p>
    <w:p w14:paraId="4E75CA37" w14:textId="77777777" w:rsidR="003743A4" w:rsidRPr="003743A4" w:rsidRDefault="003743A4" w:rsidP="003743A4">
      <w:pPr>
        <w:spacing w:after="0" w:line="240" w:lineRule="auto"/>
        <w:ind w:left="284"/>
        <w:jc w:val="both"/>
        <w:rPr>
          <w:rFonts w:ascii="Arial" w:hAnsi="Arial" w:cs="Arial"/>
          <w:sz w:val="20"/>
          <w:szCs w:val="20"/>
        </w:rPr>
      </w:pPr>
    </w:p>
    <w:p w14:paraId="32F0F496" w14:textId="10209EB9"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sz w:val="20"/>
          <w:szCs w:val="20"/>
        </w:rPr>
        <w:t xml:space="preserve">Après la délibération du conseil des ministres, </w:t>
      </w:r>
    </w:p>
    <w:p w14:paraId="538271CE" w14:textId="77777777" w:rsidR="003743A4" w:rsidRPr="003743A4" w:rsidRDefault="003743A4" w:rsidP="003743A4">
      <w:pPr>
        <w:spacing w:after="0" w:line="240" w:lineRule="auto"/>
        <w:ind w:left="284"/>
        <w:jc w:val="both"/>
        <w:rPr>
          <w:rFonts w:ascii="Arial" w:hAnsi="Arial" w:cs="Arial"/>
          <w:sz w:val="20"/>
          <w:szCs w:val="20"/>
        </w:rPr>
      </w:pPr>
    </w:p>
    <w:p w14:paraId="60E3E6CC" w14:textId="20EA31BA"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sz w:val="20"/>
          <w:szCs w:val="20"/>
        </w:rPr>
        <w:t xml:space="preserve">Prend le décret gouvernemental dont la teneur suit : </w:t>
      </w:r>
    </w:p>
    <w:p w14:paraId="1D705445" w14:textId="77777777" w:rsidR="003743A4" w:rsidRPr="003743A4" w:rsidRDefault="003743A4" w:rsidP="003743A4">
      <w:pPr>
        <w:spacing w:after="0" w:line="240" w:lineRule="auto"/>
        <w:ind w:left="284"/>
        <w:jc w:val="both"/>
        <w:rPr>
          <w:rFonts w:ascii="Arial" w:hAnsi="Arial" w:cs="Arial"/>
          <w:sz w:val="20"/>
          <w:szCs w:val="20"/>
        </w:rPr>
      </w:pPr>
    </w:p>
    <w:p w14:paraId="221A04D1" w14:textId="414B34B8"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b/>
          <w:bCs/>
          <w:i/>
          <w:iCs/>
          <w:sz w:val="20"/>
          <w:szCs w:val="20"/>
        </w:rPr>
        <w:t>Article premier</w:t>
      </w:r>
      <w:r w:rsidRPr="003743A4">
        <w:rPr>
          <w:rFonts w:ascii="Arial" w:hAnsi="Arial" w:cs="Arial"/>
          <w:sz w:val="20"/>
          <w:szCs w:val="20"/>
        </w:rPr>
        <w:t xml:space="preserve"> – </w:t>
      </w:r>
      <w:r w:rsidRPr="003743A4">
        <w:rPr>
          <w:rFonts w:ascii="Arial" w:hAnsi="Arial" w:cs="Arial"/>
          <w:sz w:val="20"/>
          <w:szCs w:val="20"/>
        </w:rPr>
        <w:t>Le présent décret gouvernemental vise à fixer l’organisation et les modalités de fonctionnement de la commission nationale de lutte contre le terrorisme instituée en vertu de l’article 66 de la loi n° 2015-26 du 7 août 2015, relative à la lutte contre le terrorisme et la répression du blanchiment d’argent et désignée ci-après par « la commission ».</w:t>
      </w:r>
    </w:p>
    <w:p w14:paraId="561FB65C" w14:textId="77777777" w:rsidR="003743A4" w:rsidRPr="003743A4" w:rsidRDefault="003743A4" w:rsidP="003743A4">
      <w:pPr>
        <w:spacing w:after="0" w:line="240" w:lineRule="auto"/>
        <w:ind w:left="284"/>
        <w:jc w:val="both"/>
        <w:rPr>
          <w:rFonts w:ascii="Arial" w:hAnsi="Arial" w:cs="Arial"/>
          <w:sz w:val="20"/>
          <w:szCs w:val="20"/>
        </w:rPr>
      </w:pPr>
    </w:p>
    <w:p w14:paraId="5B377E32" w14:textId="30954475" w:rsidR="003743A4" w:rsidRPr="003743A4" w:rsidRDefault="003743A4" w:rsidP="003743A4">
      <w:pPr>
        <w:spacing w:before="120" w:after="0" w:line="240" w:lineRule="auto"/>
        <w:ind w:left="284"/>
        <w:jc w:val="both"/>
        <w:rPr>
          <w:rFonts w:ascii="Arial" w:hAnsi="Arial" w:cs="Arial"/>
          <w:sz w:val="20"/>
          <w:szCs w:val="20"/>
        </w:rPr>
      </w:pPr>
      <w:r w:rsidRPr="003743A4">
        <w:rPr>
          <w:rFonts w:ascii="Arial" w:hAnsi="Arial" w:cs="Arial"/>
          <w:b/>
          <w:bCs/>
          <w:i/>
          <w:iCs/>
          <w:sz w:val="20"/>
          <w:szCs w:val="20"/>
        </w:rPr>
        <w:t>Art. 2 –</w:t>
      </w:r>
      <w:r w:rsidRPr="003743A4">
        <w:rPr>
          <w:rFonts w:ascii="Arial" w:hAnsi="Arial" w:cs="Arial"/>
          <w:sz w:val="20"/>
          <w:szCs w:val="20"/>
        </w:rPr>
        <w:t xml:space="preserve"> </w:t>
      </w:r>
      <w:r w:rsidRPr="003743A4">
        <w:rPr>
          <w:rFonts w:ascii="Arial" w:hAnsi="Arial" w:cs="Arial"/>
          <w:sz w:val="20"/>
          <w:szCs w:val="20"/>
        </w:rPr>
        <w:t>La commission se réunit au moins une fois par mois et chaque fois que la nécessité l’exige sur convocation de son président (ou son représentant). Les délibérations de la commission ne sont valables qu’en la présence de la moitié de ses membres au moins.</w:t>
      </w:r>
    </w:p>
    <w:p w14:paraId="7AF12DCF" w14:textId="77777777" w:rsidR="003743A4" w:rsidRPr="003743A4" w:rsidRDefault="003743A4" w:rsidP="003743A4">
      <w:pPr>
        <w:spacing w:before="120" w:after="0" w:line="240" w:lineRule="auto"/>
        <w:ind w:left="284"/>
        <w:jc w:val="both"/>
        <w:rPr>
          <w:rFonts w:ascii="Arial" w:hAnsi="Arial" w:cs="Arial"/>
          <w:sz w:val="20"/>
          <w:szCs w:val="20"/>
        </w:rPr>
      </w:pPr>
      <w:r w:rsidRPr="003743A4">
        <w:rPr>
          <w:rFonts w:ascii="Arial" w:hAnsi="Arial" w:cs="Arial"/>
          <w:sz w:val="20"/>
          <w:szCs w:val="20"/>
        </w:rPr>
        <w:t xml:space="preserve">Les décisions sont prises à la majorité des voix des membres présents, en cas d’égalité des voix celle du président est prépondérante. Ne prennent pas part au vote les personnes ayant compétence et expertise ou les représentants de la société civile convoqués aux réunions de la commission en vertu du troisième alinéa de l’article 67 de la loi n° 2015-26 susmentionné. </w:t>
      </w:r>
    </w:p>
    <w:p w14:paraId="11B91422" w14:textId="77777777" w:rsidR="003743A4" w:rsidRPr="003743A4" w:rsidRDefault="003743A4" w:rsidP="003743A4">
      <w:pPr>
        <w:spacing w:after="0" w:line="240" w:lineRule="auto"/>
        <w:ind w:left="284"/>
        <w:jc w:val="both"/>
        <w:rPr>
          <w:rFonts w:ascii="Arial" w:hAnsi="Arial" w:cs="Arial"/>
          <w:sz w:val="20"/>
          <w:szCs w:val="20"/>
        </w:rPr>
      </w:pPr>
    </w:p>
    <w:p w14:paraId="117762C0" w14:textId="04777DE9" w:rsidR="003743A4" w:rsidRPr="003743A4" w:rsidRDefault="003743A4" w:rsidP="003743A4">
      <w:pPr>
        <w:spacing w:before="120" w:after="0" w:line="240" w:lineRule="auto"/>
        <w:ind w:left="284"/>
        <w:jc w:val="both"/>
        <w:rPr>
          <w:rFonts w:ascii="Arial" w:hAnsi="Arial" w:cs="Arial"/>
          <w:sz w:val="20"/>
          <w:szCs w:val="20"/>
        </w:rPr>
      </w:pPr>
      <w:r w:rsidRPr="003743A4">
        <w:rPr>
          <w:rFonts w:ascii="Arial" w:hAnsi="Arial" w:cs="Arial"/>
          <w:b/>
          <w:bCs/>
          <w:i/>
          <w:iCs/>
          <w:sz w:val="20"/>
          <w:szCs w:val="20"/>
        </w:rPr>
        <w:t>Art. 3 –</w:t>
      </w:r>
      <w:r w:rsidRPr="003743A4">
        <w:rPr>
          <w:rFonts w:ascii="Arial" w:hAnsi="Arial" w:cs="Arial"/>
          <w:sz w:val="20"/>
          <w:szCs w:val="20"/>
        </w:rPr>
        <w:t xml:space="preserve"> </w:t>
      </w:r>
      <w:r w:rsidRPr="003743A4">
        <w:rPr>
          <w:rFonts w:ascii="Arial" w:hAnsi="Arial" w:cs="Arial"/>
          <w:sz w:val="20"/>
          <w:szCs w:val="20"/>
        </w:rPr>
        <w:t>Le président de la commission (ou son représentant), fixe l’ordre du jour de la commission. Les travaux de la commission sont consignés dans des procès-verbaux signés par le Président de la commission et ses membres présents.</w:t>
      </w:r>
    </w:p>
    <w:p w14:paraId="2C141FAA" w14:textId="77777777" w:rsidR="003743A4" w:rsidRPr="003743A4" w:rsidRDefault="003743A4" w:rsidP="003743A4">
      <w:pPr>
        <w:spacing w:before="120" w:after="0" w:line="240" w:lineRule="auto"/>
        <w:ind w:left="284"/>
        <w:jc w:val="both"/>
        <w:rPr>
          <w:rFonts w:ascii="Arial" w:hAnsi="Arial" w:cs="Arial"/>
          <w:sz w:val="20"/>
          <w:szCs w:val="20"/>
        </w:rPr>
      </w:pPr>
      <w:r w:rsidRPr="003743A4">
        <w:rPr>
          <w:rFonts w:ascii="Arial" w:hAnsi="Arial" w:cs="Arial"/>
          <w:sz w:val="20"/>
          <w:szCs w:val="20"/>
        </w:rPr>
        <w:t>Le président de la commission (ou son représentant), transmet les procès-verbaux des réunions aux ministères et organes qui y sont représentés.</w:t>
      </w:r>
    </w:p>
    <w:p w14:paraId="42AC78F0" w14:textId="77777777" w:rsidR="003743A4" w:rsidRPr="003743A4" w:rsidRDefault="003743A4" w:rsidP="003743A4">
      <w:pPr>
        <w:spacing w:after="0" w:line="240" w:lineRule="auto"/>
        <w:ind w:left="284"/>
        <w:jc w:val="both"/>
        <w:rPr>
          <w:rFonts w:ascii="Arial" w:hAnsi="Arial" w:cs="Arial"/>
          <w:sz w:val="20"/>
          <w:szCs w:val="20"/>
        </w:rPr>
      </w:pPr>
    </w:p>
    <w:p w14:paraId="1B0F9447" w14:textId="552A84FE"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b/>
          <w:bCs/>
          <w:i/>
          <w:iCs/>
          <w:sz w:val="20"/>
          <w:szCs w:val="20"/>
        </w:rPr>
        <w:t>Art. 4 –</w:t>
      </w:r>
      <w:r w:rsidRPr="003743A4">
        <w:rPr>
          <w:rFonts w:ascii="Arial" w:hAnsi="Arial" w:cs="Arial"/>
          <w:sz w:val="20"/>
          <w:szCs w:val="20"/>
        </w:rPr>
        <w:t xml:space="preserve"> </w:t>
      </w:r>
      <w:r w:rsidRPr="003743A4">
        <w:rPr>
          <w:rFonts w:ascii="Arial" w:hAnsi="Arial" w:cs="Arial"/>
          <w:sz w:val="20"/>
          <w:szCs w:val="20"/>
        </w:rPr>
        <w:t xml:space="preserve">Le secrétariat permanent de la commission est notamment chargé de ce qui suit : </w:t>
      </w:r>
    </w:p>
    <w:p w14:paraId="3FB82143" w14:textId="1F271AF0" w:rsidR="003743A4" w:rsidRPr="003743A4" w:rsidRDefault="003743A4" w:rsidP="003743A4">
      <w:pPr>
        <w:pStyle w:val="Paragraphedeliste"/>
        <w:numPr>
          <w:ilvl w:val="0"/>
          <w:numId w:val="33"/>
        </w:numPr>
        <w:spacing w:before="120" w:after="0" w:line="240" w:lineRule="auto"/>
        <w:ind w:left="927"/>
        <w:jc w:val="both"/>
        <w:rPr>
          <w:rFonts w:ascii="Arial" w:hAnsi="Arial" w:cs="Arial"/>
          <w:sz w:val="20"/>
          <w:szCs w:val="20"/>
        </w:rPr>
      </w:pPr>
      <w:r w:rsidRPr="003743A4">
        <w:rPr>
          <w:rFonts w:ascii="Arial" w:hAnsi="Arial" w:cs="Arial"/>
          <w:sz w:val="20"/>
          <w:szCs w:val="20"/>
        </w:rPr>
        <w:t>la réception, l’enregistrement et la transmission du courrier parvenu à la commission via le bureau d’ordre central de la présidence du gouvernement,</w:t>
      </w:r>
    </w:p>
    <w:p w14:paraId="15E0ED65" w14:textId="197C312F" w:rsidR="003743A4" w:rsidRPr="003743A4" w:rsidRDefault="003743A4" w:rsidP="003743A4">
      <w:pPr>
        <w:pStyle w:val="Paragraphedeliste"/>
        <w:numPr>
          <w:ilvl w:val="0"/>
          <w:numId w:val="33"/>
        </w:numPr>
        <w:spacing w:before="120" w:after="0" w:line="240" w:lineRule="auto"/>
        <w:ind w:left="927"/>
        <w:jc w:val="both"/>
        <w:rPr>
          <w:rFonts w:ascii="Arial" w:hAnsi="Arial" w:cs="Arial"/>
          <w:sz w:val="20"/>
          <w:szCs w:val="20"/>
        </w:rPr>
      </w:pPr>
      <w:r w:rsidRPr="003743A4">
        <w:rPr>
          <w:rFonts w:ascii="Arial" w:hAnsi="Arial" w:cs="Arial"/>
          <w:sz w:val="20"/>
          <w:szCs w:val="20"/>
        </w:rPr>
        <w:t>la préparation des réunions et des travaux de la commission,</w:t>
      </w:r>
    </w:p>
    <w:p w14:paraId="70FFFE4D" w14:textId="33A64F24" w:rsidR="003743A4" w:rsidRPr="003743A4" w:rsidRDefault="003743A4" w:rsidP="003743A4">
      <w:pPr>
        <w:pStyle w:val="Paragraphedeliste"/>
        <w:numPr>
          <w:ilvl w:val="0"/>
          <w:numId w:val="33"/>
        </w:numPr>
        <w:spacing w:before="120" w:after="0" w:line="240" w:lineRule="auto"/>
        <w:ind w:left="927"/>
        <w:jc w:val="both"/>
        <w:rPr>
          <w:rFonts w:ascii="Arial" w:hAnsi="Arial" w:cs="Arial"/>
          <w:sz w:val="20"/>
          <w:szCs w:val="20"/>
        </w:rPr>
      </w:pPr>
      <w:r w:rsidRPr="003743A4">
        <w:rPr>
          <w:rFonts w:ascii="Arial" w:hAnsi="Arial" w:cs="Arial"/>
          <w:sz w:val="20"/>
          <w:szCs w:val="20"/>
        </w:rPr>
        <w:t>la conservation et la gestion des documents relatifs à l’exercice de l’activité de la commission.</w:t>
      </w:r>
    </w:p>
    <w:p w14:paraId="27CBBC2C" w14:textId="77777777" w:rsidR="003743A4" w:rsidRPr="003743A4" w:rsidRDefault="003743A4" w:rsidP="003743A4">
      <w:pPr>
        <w:spacing w:before="120" w:after="0" w:line="240" w:lineRule="auto"/>
        <w:ind w:left="284"/>
        <w:jc w:val="both"/>
        <w:rPr>
          <w:rFonts w:ascii="Arial" w:hAnsi="Arial" w:cs="Arial"/>
          <w:sz w:val="20"/>
          <w:szCs w:val="20"/>
        </w:rPr>
      </w:pPr>
      <w:r w:rsidRPr="003743A4">
        <w:rPr>
          <w:rFonts w:ascii="Arial" w:hAnsi="Arial" w:cs="Arial"/>
          <w:sz w:val="20"/>
          <w:szCs w:val="20"/>
        </w:rPr>
        <w:t xml:space="preserve">Le secrétariat permanent assure toutes les tâches qui lui sont assignées par le président de la commission ou son représentant. </w:t>
      </w:r>
    </w:p>
    <w:p w14:paraId="1E64229A" w14:textId="77777777" w:rsidR="003743A4" w:rsidRPr="003743A4" w:rsidRDefault="003743A4" w:rsidP="003743A4">
      <w:pPr>
        <w:spacing w:after="0" w:line="240" w:lineRule="auto"/>
        <w:ind w:left="284"/>
        <w:jc w:val="both"/>
        <w:rPr>
          <w:rFonts w:ascii="Arial" w:hAnsi="Arial" w:cs="Arial"/>
          <w:sz w:val="20"/>
          <w:szCs w:val="20"/>
        </w:rPr>
      </w:pPr>
    </w:p>
    <w:p w14:paraId="4DFEA28D" w14:textId="3E7EE503"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b/>
          <w:bCs/>
          <w:i/>
          <w:iCs/>
          <w:sz w:val="20"/>
          <w:szCs w:val="20"/>
        </w:rPr>
        <w:t>Art. 5 –</w:t>
      </w:r>
      <w:r w:rsidRPr="003743A4">
        <w:rPr>
          <w:rFonts w:ascii="Arial" w:hAnsi="Arial" w:cs="Arial"/>
          <w:sz w:val="20"/>
          <w:szCs w:val="20"/>
        </w:rPr>
        <w:t xml:space="preserve"> </w:t>
      </w:r>
      <w:r w:rsidRPr="003743A4">
        <w:rPr>
          <w:rFonts w:ascii="Arial" w:hAnsi="Arial" w:cs="Arial"/>
          <w:sz w:val="20"/>
          <w:szCs w:val="20"/>
        </w:rPr>
        <w:t>Lors du premier mandat et à titre exceptionnel, il est procédé aux deux premiers renouvellements du tiers des membres de la commission par tirage au sort. Le président de la commission n’est pas concerné par ces deux renouvellements.</w:t>
      </w:r>
    </w:p>
    <w:p w14:paraId="1E5466E2" w14:textId="77777777" w:rsidR="003743A4" w:rsidRPr="003743A4" w:rsidRDefault="003743A4" w:rsidP="003743A4">
      <w:pPr>
        <w:spacing w:after="0" w:line="240" w:lineRule="auto"/>
        <w:ind w:left="284"/>
        <w:jc w:val="both"/>
        <w:rPr>
          <w:rFonts w:ascii="Arial" w:hAnsi="Arial" w:cs="Arial"/>
          <w:sz w:val="20"/>
          <w:szCs w:val="20"/>
        </w:rPr>
      </w:pPr>
    </w:p>
    <w:p w14:paraId="3CAEC866" w14:textId="7AFD0101" w:rsidR="003743A4" w:rsidRPr="003743A4" w:rsidRDefault="003743A4" w:rsidP="003743A4">
      <w:pPr>
        <w:spacing w:after="0" w:line="240" w:lineRule="auto"/>
        <w:ind w:left="284"/>
        <w:jc w:val="both"/>
        <w:rPr>
          <w:rFonts w:ascii="Arial" w:hAnsi="Arial" w:cs="Arial"/>
          <w:sz w:val="20"/>
          <w:szCs w:val="20"/>
        </w:rPr>
      </w:pPr>
      <w:r w:rsidRPr="003743A4">
        <w:rPr>
          <w:rFonts w:ascii="Arial" w:hAnsi="Arial" w:cs="Arial"/>
          <w:b/>
          <w:bCs/>
          <w:i/>
          <w:iCs/>
          <w:sz w:val="20"/>
          <w:szCs w:val="20"/>
        </w:rPr>
        <w:t>Art. 6 –</w:t>
      </w:r>
      <w:r w:rsidRPr="003743A4">
        <w:rPr>
          <w:rFonts w:ascii="Arial" w:hAnsi="Arial" w:cs="Arial"/>
          <w:sz w:val="20"/>
          <w:szCs w:val="20"/>
        </w:rPr>
        <w:t xml:space="preserve"> </w:t>
      </w:r>
      <w:r w:rsidRPr="003743A4">
        <w:rPr>
          <w:rFonts w:ascii="Arial" w:hAnsi="Arial" w:cs="Arial"/>
          <w:sz w:val="20"/>
          <w:szCs w:val="20"/>
        </w:rPr>
        <w:t>Le présent décret gouvernemental sera publié au Journal Officiel de la République Tunisienne.</w:t>
      </w:r>
    </w:p>
    <w:p w14:paraId="041B322E" w14:textId="77777777" w:rsidR="003743A4" w:rsidRPr="003743A4" w:rsidRDefault="003743A4" w:rsidP="003743A4">
      <w:pPr>
        <w:spacing w:after="0" w:line="240" w:lineRule="auto"/>
        <w:ind w:left="284"/>
        <w:jc w:val="both"/>
        <w:rPr>
          <w:rFonts w:ascii="Arial" w:hAnsi="Arial" w:cs="Arial"/>
          <w:sz w:val="20"/>
          <w:szCs w:val="20"/>
        </w:rPr>
      </w:pPr>
    </w:p>
    <w:p w14:paraId="72BEBF28" w14:textId="34783F25" w:rsidR="00B57131" w:rsidRPr="003743A4" w:rsidRDefault="003743A4" w:rsidP="003743A4">
      <w:pPr>
        <w:spacing w:after="0" w:line="240" w:lineRule="auto"/>
        <w:ind w:left="284"/>
        <w:jc w:val="both"/>
        <w:rPr>
          <w:rFonts w:ascii="Arial" w:hAnsi="Arial" w:cs="Arial"/>
          <w:b/>
          <w:bCs/>
          <w:sz w:val="20"/>
          <w:szCs w:val="20"/>
        </w:rPr>
      </w:pPr>
      <w:r w:rsidRPr="003743A4">
        <w:rPr>
          <w:rFonts w:ascii="Arial" w:hAnsi="Arial" w:cs="Arial"/>
          <w:b/>
          <w:bCs/>
          <w:sz w:val="20"/>
          <w:szCs w:val="20"/>
        </w:rPr>
        <w:t>Tunis, le 25 novembre 2015.</w:t>
      </w:r>
    </w:p>
    <w:sectPr w:rsidR="00B57131" w:rsidRPr="003743A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B9E3" w14:textId="77777777" w:rsidR="0012690E" w:rsidRDefault="0012690E" w:rsidP="008F3F2D">
      <w:r>
        <w:separator/>
      </w:r>
    </w:p>
  </w:endnote>
  <w:endnote w:type="continuationSeparator" w:id="0">
    <w:p w14:paraId="19FBD7D4" w14:textId="77777777" w:rsidR="0012690E" w:rsidRDefault="0012690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853A54" w:rsidRPr="00323C77" w:rsidRDefault="00853A54">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4E3506DE"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43A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743A4">
                            <w:rPr>
                              <w:rFonts w:ascii="Arial" w:hAnsi="Arial" w:cs="Arial"/>
                              <w:noProof/>
                              <w:sz w:val="18"/>
                              <w:szCs w:val="18"/>
                            </w:rPr>
                            <w:t>2</w:t>
                          </w:r>
                          <w:r w:rsidRPr="001E5DD5">
                            <w:rPr>
                              <w:rFonts w:ascii="Arial" w:hAnsi="Arial" w:cs="Arial"/>
                              <w:noProof/>
                              <w:sz w:val="18"/>
                              <w:szCs w:val="18"/>
                            </w:rPr>
                            <w:fldChar w:fldCharType="end"/>
                          </w:r>
                        </w:p>
                        <w:p w14:paraId="75F5800F" w14:textId="77777777" w:rsidR="00853A54" w:rsidRDefault="00853A5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4E3506DE"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43A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743A4">
                      <w:rPr>
                        <w:rFonts w:ascii="Arial" w:hAnsi="Arial" w:cs="Arial"/>
                        <w:noProof/>
                        <w:sz w:val="18"/>
                        <w:szCs w:val="18"/>
                      </w:rPr>
                      <w:t>2</w:t>
                    </w:r>
                    <w:r w:rsidRPr="001E5DD5">
                      <w:rPr>
                        <w:rFonts w:ascii="Arial" w:hAnsi="Arial" w:cs="Arial"/>
                        <w:noProof/>
                        <w:sz w:val="18"/>
                        <w:szCs w:val="18"/>
                      </w:rPr>
                      <w:fldChar w:fldCharType="end"/>
                    </w:r>
                  </w:p>
                  <w:p w14:paraId="75F5800F" w14:textId="77777777" w:rsidR="00853A54" w:rsidRDefault="00853A5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853A54" w:rsidRDefault="00853A5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76B37B21"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690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690E">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76B37B21"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690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690E">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B8CF7" w14:textId="77777777" w:rsidR="0012690E" w:rsidRDefault="0012690E" w:rsidP="008F3F2D">
      <w:r>
        <w:separator/>
      </w:r>
    </w:p>
  </w:footnote>
  <w:footnote w:type="continuationSeparator" w:id="0">
    <w:p w14:paraId="372E1A5A" w14:textId="77777777" w:rsidR="0012690E" w:rsidRDefault="0012690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853A54" w:rsidRDefault="00853A54">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53A54" w:rsidRDefault="00853A54" w:rsidP="0097472C">
                          <w:pPr>
                            <w:spacing w:after="0" w:line="240" w:lineRule="auto"/>
                            <w:ind w:left="567"/>
                            <w:rPr>
                              <w:rFonts w:ascii="Arial" w:eastAsia="Times New Roman" w:hAnsi="Arial" w:cs="Times New Roman"/>
                              <w:sz w:val="24"/>
                              <w:szCs w:val="24"/>
                            </w:rPr>
                          </w:pPr>
                        </w:p>
                        <w:p w14:paraId="6E13C0BA" w14:textId="77777777" w:rsidR="00853A54" w:rsidRPr="005F7BF4" w:rsidRDefault="00853A5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53A54" w:rsidRPr="005F7BF4" w:rsidRDefault="00853A5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53A54" w:rsidRDefault="00853A54" w:rsidP="0097472C">
                    <w:pPr>
                      <w:spacing w:after="0" w:line="240" w:lineRule="auto"/>
                      <w:ind w:left="567"/>
                      <w:rPr>
                        <w:rFonts w:ascii="Arial" w:eastAsia="Times New Roman" w:hAnsi="Arial" w:cs="Times New Roman"/>
                        <w:sz w:val="24"/>
                        <w:szCs w:val="24"/>
                      </w:rPr>
                    </w:pPr>
                  </w:p>
                  <w:p w14:paraId="6E13C0BA" w14:textId="77777777" w:rsidR="00853A54" w:rsidRPr="005F7BF4" w:rsidRDefault="00853A5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53A54" w:rsidRPr="005F7BF4" w:rsidRDefault="00853A5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853A54" w:rsidRPr="008C7CA6" w:rsidRDefault="00853A54">
    <w:pPr>
      <w:pStyle w:val="En-tte"/>
      <w:rPr>
        <w:b/>
        <w:bCs/>
      </w:rPr>
    </w:pPr>
    <w:r w:rsidRPr="008C7CA6">
      <w:rPr>
        <w:b/>
        <w:bCs/>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53A54" w:rsidRDefault="00853A54" w:rsidP="0075404E">
                          <w:pPr>
                            <w:spacing w:after="0" w:line="20" w:lineRule="atLeast"/>
                            <w:ind w:left="567"/>
                            <w:rPr>
                              <w:rFonts w:ascii="Arial" w:eastAsia="Times New Roman" w:hAnsi="Arial" w:cs="Arial"/>
                              <w:sz w:val="24"/>
                              <w:szCs w:val="20"/>
                              <w:lang w:eastAsia="en-US"/>
                            </w:rPr>
                          </w:pPr>
                        </w:p>
                        <w:p w14:paraId="590536B7" w14:textId="77777777" w:rsidR="00853A54" w:rsidRPr="00317C84" w:rsidRDefault="00853A5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53A54" w:rsidRPr="00317C84" w:rsidRDefault="00853A5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53A54" w:rsidRPr="00323C77" w:rsidRDefault="00853A54"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53A54" w:rsidRDefault="00853A54" w:rsidP="0075404E">
                    <w:pPr>
                      <w:spacing w:after="0" w:line="20" w:lineRule="atLeast"/>
                      <w:ind w:left="567"/>
                      <w:rPr>
                        <w:rFonts w:ascii="Arial" w:eastAsia="Times New Roman" w:hAnsi="Arial" w:cs="Arial"/>
                        <w:sz w:val="24"/>
                        <w:szCs w:val="20"/>
                        <w:lang w:eastAsia="en-US"/>
                      </w:rPr>
                    </w:pPr>
                  </w:p>
                  <w:p w14:paraId="590536B7" w14:textId="77777777" w:rsidR="00853A54" w:rsidRPr="00317C84" w:rsidRDefault="00853A5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53A54" w:rsidRPr="00317C84" w:rsidRDefault="00853A5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53A54" w:rsidRPr="00323C77" w:rsidRDefault="00853A54" w:rsidP="00584322">
                    <w:pPr>
                      <w:ind w:left="1134"/>
                      <w:jc w:val="both"/>
                      <w:rPr>
                        <w:rFonts w:ascii="Arial" w:hAnsi="Arial"/>
                      </w:rPr>
                    </w:pPr>
                    <w:r w:rsidRPr="00323C77">
                      <w:rPr>
                        <w:rFonts w:ascii="Arial" w:hAnsi="Arial"/>
                      </w:rPr>
                      <w:t>www.legislation-securite.tn</w:t>
                    </w:r>
                  </w:p>
                </w:txbxContent>
              </v:textbox>
            </v:rect>
          </w:pict>
        </mc:Fallback>
      </mc:AlternateContent>
    </w:r>
    <w:r w:rsidRPr="008C7CA6">
      <w:rPr>
        <w:b/>
        <w:bCs/>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1C"/>
    <w:multiLevelType w:val="hybridMultilevel"/>
    <w:tmpl w:val="E826A034"/>
    <w:lvl w:ilvl="0" w:tplc="040C000F">
      <w:start w:val="1"/>
      <w:numFmt w:val="decimal"/>
      <w:lvlText w:val="%1."/>
      <w:lvlJc w:val="left"/>
      <w:pPr>
        <w:ind w:left="1004" w:hanging="360"/>
      </w:pPr>
    </w:lvl>
    <w:lvl w:ilvl="1" w:tplc="83C21DAC">
      <w:start w:val="1"/>
      <w:numFmt w:val="lowerLetter"/>
      <w:lvlText w:val="%2)"/>
      <w:lvlJc w:val="left"/>
      <w:pPr>
        <w:ind w:left="1724" w:hanging="360"/>
      </w:pPr>
      <w:rPr>
        <w:rFonts w:hint="default"/>
      </w:r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3AE5B32"/>
    <w:multiLevelType w:val="hybridMultilevel"/>
    <w:tmpl w:val="C9C0510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4A31C54"/>
    <w:multiLevelType w:val="hybridMultilevel"/>
    <w:tmpl w:val="18BA13B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51529EB"/>
    <w:multiLevelType w:val="hybridMultilevel"/>
    <w:tmpl w:val="B4603FE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79644B8"/>
    <w:multiLevelType w:val="hybridMultilevel"/>
    <w:tmpl w:val="2FC641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BBE1F78"/>
    <w:multiLevelType w:val="hybridMultilevel"/>
    <w:tmpl w:val="EE5CC4E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7D16367"/>
    <w:multiLevelType w:val="hybridMultilevel"/>
    <w:tmpl w:val="26362FE4"/>
    <w:lvl w:ilvl="0" w:tplc="040C0017">
      <w:start w:val="1"/>
      <w:numFmt w:val="lowerLetter"/>
      <w:lvlText w:val="%1)"/>
      <w:lvlJc w:val="left"/>
      <w:pPr>
        <w:ind w:left="1004" w:hanging="360"/>
      </w:pPr>
    </w:lvl>
    <w:lvl w:ilvl="1" w:tplc="A93A872A">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B001182"/>
    <w:multiLevelType w:val="hybridMultilevel"/>
    <w:tmpl w:val="D4B4BF9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CAF0BE8"/>
    <w:multiLevelType w:val="hybridMultilevel"/>
    <w:tmpl w:val="023ADA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2AE2A0E"/>
    <w:multiLevelType w:val="hybridMultilevel"/>
    <w:tmpl w:val="0CD0D45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3CB4939"/>
    <w:multiLevelType w:val="hybridMultilevel"/>
    <w:tmpl w:val="72628D6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552758F"/>
    <w:multiLevelType w:val="hybridMultilevel"/>
    <w:tmpl w:val="74B6EB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6AC43BB"/>
    <w:multiLevelType w:val="hybridMultilevel"/>
    <w:tmpl w:val="3A06622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6005D1A"/>
    <w:multiLevelType w:val="hybridMultilevel"/>
    <w:tmpl w:val="3410C3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A406F3F"/>
    <w:multiLevelType w:val="hybridMultilevel"/>
    <w:tmpl w:val="4664DCAE"/>
    <w:lvl w:ilvl="0" w:tplc="D13A15C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BCD68F2"/>
    <w:multiLevelType w:val="hybridMultilevel"/>
    <w:tmpl w:val="8D3250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DFA5ED5"/>
    <w:multiLevelType w:val="hybridMultilevel"/>
    <w:tmpl w:val="BFEC6C5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F0B501D"/>
    <w:multiLevelType w:val="hybridMultilevel"/>
    <w:tmpl w:val="673258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F270C85"/>
    <w:multiLevelType w:val="hybridMultilevel"/>
    <w:tmpl w:val="F64676F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04978DA"/>
    <w:multiLevelType w:val="hybridMultilevel"/>
    <w:tmpl w:val="25209AB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304382E"/>
    <w:multiLevelType w:val="hybridMultilevel"/>
    <w:tmpl w:val="90D6E396"/>
    <w:lvl w:ilvl="0" w:tplc="040C000F">
      <w:start w:val="1"/>
      <w:numFmt w:val="decimal"/>
      <w:lvlText w:val="%1."/>
      <w:lvlJc w:val="left"/>
      <w:pPr>
        <w:ind w:left="1065" w:hanging="360"/>
      </w:pPr>
    </w:lvl>
    <w:lvl w:ilvl="1" w:tplc="2E9462CA">
      <w:start w:val="1"/>
      <w:numFmt w:val="lowerLetter"/>
      <w:lvlText w:val="%2)"/>
      <w:lvlJc w:val="left"/>
      <w:pPr>
        <w:ind w:left="1785" w:hanging="360"/>
      </w:pPr>
      <w:rPr>
        <w:rFonts w:hint="default"/>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15:restartNumberingAfterBreak="0">
    <w:nsid w:val="4B0E1B05"/>
    <w:multiLevelType w:val="hybridMultilevel"/>
    <w:tmpl w:val="765C1A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4BC45747"/>
    <w:multiLevelType w:val="hybridMultilevel"/>
    <w:tmpl w:val="013CC9E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4BC517EF"/>
    <w:multiLevelType w:val="hybridMultilevel"/>
    <w:tmpl w:val="B5807F4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52B40220"/>
    <w:multiLevelType w:val="hybridMultilevel"/>
    <w:tmpl w:val="6B2606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54D385B"/>
    <w:multiLevelType w:val="hybridMultilevel"/>
    <w:tmpl w:val="869A61E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5826763D"/>
    <w:multiLevelType w:val="hybridMultilevel"/>
    <w:tmpl w:val="C9766F3E"/>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BB90C34"/>
    <w:multiLevelType w:val="hybridMultilevel"/>
    <w:tmpl w:val="CC9CFD1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60EC01F2"/>
    <w:multiLevelType w:val="hybridMultilevel"/>
    <w:tmpl w:val="B73E6E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69FD63AE"/>
    <w:multiLevelType w:val="hybridMultilevel"/>
    <w:tmpl w:val="B17457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B7E1F1F"/>
    <w:multiLevelType w:val="hybridMultilevel"/>
    <w:tmpl w:val="202CAE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D1E7575"/>
    <w:multiLevelType w:val="hybridMultilevel"/>
    <w:tmpl w:val="490EF0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718128B5"/>
    <w:multiLevelType w:val="hybridMultilevel"/>
    <w:tmpl w:val="CEBA2B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7BD27947"/>
    <w:multiLevelType w:val="hybridMultilevel"/>
    <w:tmpl w:val="6F126A8C"/>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23C10B4">
      <w:start w:val="1"/>
      <w:numFmt w:val="decimal"/>
      <w:lvlText w:val="%3)"/>
      <w:lvlJc w:val="left"/>
      <w:pPr>
        <w:ind w:left="2624" w:hanging="360"/>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5"/>
  </w:num>
  <w:num w:numId="2">
    <w:abstractNumId w:val="20"/>
  </w:num>
  <w:num w:numId="3">
    <w:abstractNumId w:val="33"/>
  </w:num>
  <w:num w:numId="4">
    <w:abstractNumId w:val="13"/>
  </w:num>
  <w:num w:numId="5">
    <w:abstractNumId w:val="6"/>
  </w:num>
  <w:num w:numId="6">
    <w:abstractNumId w:val="19"/>
  </w:num>
  <w:num w:numId="7">
    <w:abstractNumId w:val="26"/>
  </w:num>
  <w:num w:numId="8">
    <w:abstractNumId w:val="9"/>
  </w:num>
  <w:num w:numId="9">
    <w:abstractNumId w:val="28"/>
  </w:num>
  <w:num w:numId="10">
    <w:abstractNumId w:val="2"/>
  </w:num>
  <w:num w:numId="11">
    <w:abstractNumId w:val="5"/>
  </w:num>
  <w:num w:numId="12">
    <w:abstractNumId w:val="27"/>
  </w:num>
  <w:num w:numId="13">
    <w:abstractNumId w:val="31"/>
  </w:num>
  <w:num w:numId="14">
    <w:abstractNumId w:val="3"/>
  </w:num>
  <w:num w:numId="15">
    <w:abstractNumId w:val="12"/>
  </w:num>
  <w:num w:numId="16">
    <w:abstractNumId w:val="21"/>
  </w:num>
  <w:num w:numId="17">
    <w:abstractNumId w:val="7"/>
  </w:num>
  <w:num w:numId="18">
    <w:abstractNumId w:val="10"/>
  </w:num>
  <w:num w:numId="19">
    <w:abstractNumId w:val="25"/>
  </w:num>
  <w:num w:numId="20">
    <w:abstractNumId w:val="0"/>
  </w:num>
  <w:num w:numId="21">
    <w:abstractNumId w:val="18"/>
  </w:num>
  <w:num w:numId="22">
    <w:abstractNumId w:val="32"/>
  </w:num>
  <w:num w:numId="23">
    <w:abstractNumId w:val="16"/>
  </w:num>
  <w:num w:numId="24">
    <w:abstractNumId w:val="17"/>
  </w:num>
  <w:num w:numId="25">
    <w:abstractNumId w:val="8"/>
  </w:num>
  <w:num w:numId="26">
    <w:abstractNumId w:val="30"/>
  </w:num>
  <w:num w:numId="27">
    <w:abstractNumId w:val="11"/>
  </w:num>
  <w:num w:numId="28">
    <w:abstractNumId w:val="23"/>
  </w:num>
  <w:num w:numId="29">
    <w:abstractNumId w:val="24"/>
  </w:num>
  <w:num w:numId="30">
    <w:abstractNumId w:val="29"/>
  </w:num>
  <w:num w:numId="31">
    <w:abstractNumId w:val="1"/>
  </w:num>
  <w:num w:numId="32">
    <w:abstractNumId w:val="22"/>
  </w:num>
  <w:num w:numId="33">
    <w:abstractNumId w:val="4"/>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75DC6"/>
    <w:rsid w:val="000762D6"/>
    <w:rsid w:val="00093868"/>
    <w:rsid w:val="000A7E9D"/>
    <w:rsid w:val="000B0D20"/>
    <w:rsid w:val="000B4B48"/>
    <w:rsid w:val="000C24FA"/>
    <w:rsid w:val="000C3F27"/>
    <w:rsid w:val="000C6E5D"/>
    <w:rsid w:val="000C7FAD"/>
    <w:rsid w:val="000D0DE1"/>
    <w:rsid w:val="000F15E4"/>
    <w:rsid w:val="000F7C92"/>
    <w:rsid w:val="001102DD"/>
    <w:rsid w:val="00122093"/>
    <w:rsid w:val="0012690E"/>
    <w:rsid w:val="001323AC"/>
    <w:rsid w:val="00132EC6"/>
    <w:rsid w:val="00137334"/>
    <w:rsid w:val="001373D7"/>
    <w:rsid w:val="00161DE7"/>
    <w:rsid w:val="001628DC"/>
    <w:rsid w:val="0016608F"/>
    <w:rsid w:val="00191798"/>
    <w:rsid w:val="001A535F"/>
    <w:rsid w:val="001B250B"/>
    <w:rsid w:val="001C0863"/>
    <w:rsid w:val="001E10BA"/>
    <w:rsid w:val="001E5DD5"/>
    <w:rsid w:val="001E6787"/>
    <w:rsid w:val="001F1932"/>
    <w:rsid w:val="001F1C37"/>
    <w:rsid w:val="001F27BE"/>
    <w:rsid w:val="001F5FE9"/>
    <w:rsid w:val="001F6FB9"/>
    <w:rsid w:val="00201874"/>
    <w:rsid w:val="0020398F"/>
    <w:rsid w:val="00233EE8"/>
    <w:rsid w:val="002544E0"/>
    <w:rsid w:val="002674BC"/>
    <w:rsid w:val="0028158B"/>
    <w:rsid w:val="002B19EE"/>
    <w:rsid w:val="002B75D9"/>
    <w:rsid w:val="002D0E4C"/>
    <w:rsid w:val="002F0955"/>
    <w:rsid w:val="003168BC"/>
    <w:rsid w:val="00323C77"/>
    <w:rsid w:val="00332AA0"/>
    <w:rsid w:val="00341B6D"/>
    <w:rsid w:val="003438CB"/>
    <w:rsid w:val="003457D0"/>
    <w:rsid w:val="00350474"/>
    <w:rsid w:val="003509D1"/>
    <w:rsid w:val="00354137"/>
    <w:rsid w:val="00356C00"/>
    <w:rsid w:val="003743A4"/>
    <w:rsid w:val="0038262F"/>
    <w:rsid w:val="00383314"/>
    <w:rsid w:val="00385334"/>
    <w:rsid w:val="003909B6"/>
    <w:rsid w:val="003B3E21"/>
    <w:rsid w:val="003B6CD4"/>
    <w:rsid w:val="003C1F8C"/>
    <w:rsid w:val="003C7D34"/>
    <w:rsid w:val="003D139A"/>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4E5054"/>
    <w:rsid w:val="004F0998"/>
    <w:rsid w:val="00503E5A"/>
    <w:rsid w:val="00510A06"/>
    <w:rsid w:val="005111DD"/>
    <w:rsid w:val="00523019"/>
    <w:rsid w:val="00530675"/>
    <w:rsid w:val="00532354"/>
    <w:rsid w:val="00556514"/>
    <w:rsid w:val="0056186B"/>
    <w:rsid w:val="005637AF"/>
    <w:rsid w:val="00567736"/>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E1F65"/>
    <w:rsid w:val="006F7870"/>
    <w:rsid w:val="00704C9E"/>
    <w:rsid w:val="0071049E"/>
    <w:rsid w:val="00715C1D"/>
    <w:rsid w:val="00720232"/>
    <w:rsid w:val="00721CB0"/>
    <w:rsid w:val="00722263"/>
    <w:rsid w:val="007244D3"/>
    <w:rsid w:val="007253DC"/>
    <w:rsid w:val="0072643D"/>
    <w:rsid w:val="00726667"/>
    <w:rsid w:val="00732B51"/>
    <w:rsid w:val="00742DEF"/>
    <w:rsid w:val="00745C9E"/>
    <w:rsid w:val="0074681D"/>
    <w:rsid w:val="00747BC1"/>
    <w:rsid w:val="0075123C"/>
    <w:rsid w:val="0075404E"/>
    <w:rsid w:val="0076660D"/>
    <w:rsid w:val="00766F27"/>
    <w:rsid w:val="0077104F"/>
    <w:rsid w:val="00774ABB"/>
    <w:rsid w:val="00781542"/>
    <w:rsid w:val="007970F8"/>
    <w:rsid w:val="007C3AE2"/>
    <w:rsid w:val="007E233E"/>
    <w:rsid w:val="007E6925"/>
    <w:rsid w:val="007E7F34"/>
    <w:rsid w:val="008070A5"/>
    <w:rsid w:val="00822E0A"/>
    <w:rsid w:val="00831F4B"/>
    <w:rsid w:val="00840198"/>
    <w:rsid w:val="00846ED4"/>
    <w:rsid w:val="00847F00"/>
    <w:rsid w:val="00853A54"/>
    <w:rsid w:val="008656C8"/>
    <w:rsid w:val="00873B3E"/>
    <w:rsid w:val="0089552E"/>
    <w:rsid w:val="00895CF1"/>
    <w:rsid w:val="008A020D"/>
    <w:rsid w:val="008A5097"/>
    <w:rsid w:val="008A6A33"/>
    <w:rsid w:val="008B474B"/>
    <w:rsid w:val="008B5034"/>
    <w:rsid w:val="008B532F"/>
    <w:rsid w:val="008C5578"/>
    <w:rsid w:val="008C7CA6"/>
    <w:rsid w:val="008D1764"/>
    <w:rsid w:val="008F3F2D"/>
    <w:rsid w:val="00910B98"/>
    <w:rsid w:val="00911CFA"/>
    <w:rsid w:val="009157FD"/>
    <w:rsid w:val="00915BBC"/>
    <w:rsid w:val="00916725"/>
    <w:rsid w:val="00921BBB"/>
    <w:rsid w:val="009323AF"/>
    <w:rsid w:val="00953455"/>
    <w:rsid w:val="009573D4"/>
    <w:rsid w:val="00957F0E"/>
    <w:rsid w:val="009625D0"/>
    <w:rsid w:val="0096385F"/>
    <w:rsid w:val="00966126"/>
    <w:rsid w:val="0097472C"/>
    <w:rsid w:val="00977C22"/>
    <w:rsid w:val="00990A27"/>
    <w:rsid w:val="00993EF9"/>
    <w:rsid w:val="009974E6"/>
    <w:rsid w:val="00997FFD"/>
    <w:rsid w:val="009A3536"/>
    <w:rsid w:val="009D1F05"/>
    <w:rsid w:val="009D3B7E"/>
    <w:rsid w:val="009E055F"/>
    <w:rsid w:val="009E0D13"/>
    <w:rsid w:val="009E28EC"/>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7B68"/>
    <w:rsid w:val="00A84B7B"/>
    <w:rsid w:val="00A85FD5"/>
    <w:rsid w:val="00A87BB1"/>
    <w:rsid w:val="00A90F21"/>
    <w:rsid w:val="00A9459F"/>
    <w:rsid w:val="00AA0D1E"/>
    <w:rsid w:val="00AB14C6"/>
    <w:rsid w:val="00AC6270"/>
    <w:rsid w:val="00AD2268"/>
    <w:rsid w:val="00AD4792"/>
    <w:rsid w:val="00AE07E3"/>
    <w:rsid w:val="00B0528C"/>
    <w:rsid w:val="00B05438"/>
    <w:rsid w:val="00B13DF8"/>
    <w:rsid w:val="00B142C4"/>
    <w:rsid w:val="00B1570E"/>
    <w:rsid w:val="00B179F3"/>
    <w:rsid w:val="00B57131"/>
    <w:rsid w:val="00B617F1"/>
    <w:rsid w:val="00B7262A"/>
    <w:rsid w:val="00B8723E"/>
    <w:rsid w:val="00B9158A"/>
    <w:rsid w:val="00B9535D"/>
    <w:rsid w:val="00BA2263"/>
    <w:rsid w:val="00BA341B"/>
    <w:rsid w:val="00BC2BF9"/>
    <w:rsid w:val="00BD4779"/>
    <w:rsid w:val="00BF2C32"/>
    <w:rsid w:val="00C0137F"/>
    <w:rsid w:val="00C0594D"/>
    <w:rsid w:val="00C1635D"/>
    <w:rsid w:val="00C30B26"/>
    <w:rsid w:val="00C61994"/>
    <w:rsid w:val="00C64B86"/>
    <w:rsid w:val="00C70572"/>
    <w:rsid w:val="00C73281"/>
    <w:rsid w:val="00C73D75"/>
    <w:rsid w:val="00C8772F"/>
    <w:rsid w:val="00C93049"/>
    <w:rsid w:val="00CA3D64"/>
    <w:rsid w:val="00CA45DA"/>
    <w:rsid w:val="00CA544B"/>
    <w:rsid w:val="00CA7C1D"/>
    <w:rsid w:val="00CC1B6F"/>
    <w:rsid w:val="00CC4ADF"/>
    <w:rsid w:val="00CD273C"/>
    <w:rsid w:val="00CF33EB"/>
    <w:rsid w:val="00CF6AFA"/>
    <w:rsid w:val="00D057EC"/>
    <w:rsid w:val="00D07749"/>
    <w:rsid w:val="00D1177F"/>
    <w:rsid w:val="00D274F6"/>
    <w:rsid w:val="00D36176"/>
    <w:rsid w:val="00D72D61"/>
    <w:rsid w:val="00D828B9"/>
    <w:rsid w:val="00D8302B"/>
    <w:rsid w:val="00D86804"/>
    <w:rsid w:val="00DB7CF9"/>
    <w:rsid w:val="00DB7F05"/>
    <w:rsid w:val="00DC4590"/>
    <w:rsid w:val="00DC4DDE"/>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00AE8"/>
    <w:rsid w:val="00F12416"/>
    <w:rsid w:val="00F17C41"/>
    <w:rsid w:val="00F57B75"/>
    <w:rsid w:val="00F62010"/>
    <w:rsid w:val="00F65420"/>
    <w:rsid w:val="00F67927"/>
    <w:rsid w:val="00F7757E"/>
    <w:rsid w:val="00FA43E8"/>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2B88-40D8-446E-BBCB-DFCB624B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2015-11-17T14:51:00Z</cp:lastPrinted>
  <dcterms:created xsi:type="dcterms:W3CDTF">2017-01-04T11:04:00Z</dcterms:created>
  <dcterms:modified xsi:type="dcterms:W3CDTF">2017-01-04T11:04:00Z</dcterms:modified>
</cp:coreProperties>
</file>