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311E" w14:textId="77777777" w:rsidR="000018EB" w:rsidRPr="00066444" w:rsidRDefault="000018EB" w:rsidP="00066444">
      <w:pPr>
        <w:spacing w:after="0" w:line="240" w:lineRule="auto"/>
        <w:ind w:left="284"/>
        <w:jc w:val="both"/>
        <w:rPr>
          <w:rFonts w:ascii="Arial" w:hAnsi="Arial" w:cs="Arial"/>
          <w:sz w:val="16"/>
          <w:szCs w:val="16"/>
        </w:rPr>
      </w:pPr>
    </w:p>
    <w:p w14:paraId="226F8767" w14:textId="23181951" w:rsidR="00066444" w:rsidRPr="00066444" w:rsidRDefault="00066444" w:rsidP="00066444">
      <w:pPr>
        <w:spacing w:after="0" w:line="240" w:lineRule="auto"/>
        <w:ind w:left="284"/>
        <w:jc w:val="both"/>
        <w:rPr>
          <w:rFonts w:ascii="Arial" w:hAnsi="Arial" w:cs="Arial"/>
          <w:b/>
          <w:bCs/>
          <w:sz w:val="24"/>
          <w:szCs w:val="24"/>
        </w:rPr>
      </w:pPr>
      <w:bookmarkStart w:id="0" w:name="_GoBack"/>
      <w:r w:rsidRPr="00066444">
        <w:rPr>
          <w:rFonts w:ascii="Arial" w:hAnsi="Arial" w:cs="Arial"/>
          <w:b/>
          <w:bCs/>
          <w:sz w:val="24"/>
          <w:szCs w:val="24"/>
        </w:rPr>
        <w:t>Décret Présidentiel n° 2018-40 du 13 avril 2018</w:t>
      </w:r>
      <w:bookmarkEnd w:id="0"/>
      <w:r w:rsidRPr="00066444">
        <w:rPr>
          <w:rFonts w:ascii="Arial" w:hAnsi="Arial" w:cs="Arial"/>
          <w:b/>
          <w:bCs/>
          <w:sz w:val="24"/>
          <w:szCs w:val="24"/>
        </w:rPr>
        <w:t>, complétant le décret Présidentiel n° 2015-120 du 6 juillet 2015, portant proclamation de zones d'opérations militaires et de zones d'opérations militaires clôturées</w:t>
      </w:r>
    </w:p>
    <w:p w14:paraId="6E9003BA" w14:textId="369DBD0A" w:rsidR="00066444" w:rsidRDefault="00066444" w:rsidP="00066444">
      <w:pPr>
        <w:spacing w:after="0" w:line="240" w:lineRule="auto"/>
        <w:ind w:left="284"/>
        <w:jc w:val="both"/>
        <w:rPr>
          <w:rFonts w:ascii="Arial" w:hAnsi="Arial" w:cs="Arial"/>
          <w:sz w:val="20"/>
          <w:szCs w:val="20"/>
        </w:rPr>
      </w:pPr>
    </w:p>
    <w:p w14:paraId="5C69EDDD" w14:textId="77777777" w:rsidR="00066444" w:rsidRPr="00066444" w:rsidRDefault="00066444" w:rsidP="00066444">
      <w:pPr>
        <w:spacing w:after="0" w:line="240" w:lineRule="auto"/>
        <w:ind w:left="284"/>
        <w:jc w:val="both"/>
        <w:rPr>
          <w:rFonts w:ascii="Arial" w:hAnsi="Arial" w:cs="Arial"/>
          <w:sz w:val="20"/>
          <w:szCs w:val="20"/>
        </w:rPr>
      </w:pPr>
    </w:p>
    <w:p w14:paraId="2BAA5096" w14:textId="25EBE577"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Le Président de la République, </w:t>
      </w:r>
    </w:p>
    <w:p w14:paraId="65CED979" w14:textId="77777777" w:rsidR="00066444" w:rsidRPr="00066444" w:rsidRDefault="00066444" w:rsidP="00066444">
      <w:pPr>
        <w:spacing w:after="0" w:line="240" w:lineRule="auto"/>
        <w:ind w:left="284"/>
        <w:jc w:val="both"/>
        <w:rPr>
          <w:rFonts w:ascii="Arial" w:hAnsi="Arial" w:cs="Arial"/>
          <w:sz w:val="20"/>
          <w:szCs w:val="20"/>
        </w:rPr>
      </w:pPr>
    </w:p>
    <w:p w14:paraId="3FE25FFC" w14:textId="77777777"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la constitution et notamment son article 77, </w:t>
      </w:r>
    </w:p>
    <w:p w14:paraId="1FE95EA1" w14:textId="77777777" w:rsidR="00066444" w:rsidRPr="00066444" w:rsidRDefault="00066444" w:rsidP="00066444">
      <w:pPr>
        <w:spacing w:after="0" w:line="240" w:lineRule="auto"/>
        <w:ind w:left="284"/>
        <w:jc w:val="both"/>
        <w:rPr>
          <w:rFonts w:ascii="Arial" w:hAnsi="Arial" w:cs="Arial"/>
          <w:sz w:val="20"/>
          <w:szCs w:val="20"/>
        </w:rPr>
      </w:pPr>
    </w:p>
    <w:p w14:paraId="6A892A0D" w14:textId="4B79EF97"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la loi organique n° 2004-63 du 27 juillet 2004, portant sur la protection des données à caractère personnel, </w:t>
      </w:r>
    </w:p>
    <w:p w14:paraId="6E5672EB" w14:textId="77777777" w:rsidR="00066444" w:rsidRPr="00066444" w:rsidRDefault="00066444" w:rsidP="00066444">
      <w:pPr>
        <w:spacing w:after="0" w:line="240" w:lineRule="auto"/>
        <w:ind w:left="284"/>
        <w:jc w:val="both"/>
        <w:rPr>
          <w:rFonts w:ascii="Arial" w:hAnsi="Arial" w:cs="Arial"/>
          <w:sz w:val="20"/>
          <w:szCs w:val="20"/>
        </w:rPr>
      </w:pPr>
    </w:p>
    <w:p w14:paraId="2B1F16F5" w14:textId="56E01A1B"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la loi organique n° 2015-26 du 7 août 2015, relative à la lutte contre le terrorisme et la répression du blanchiment d'argent, </w:t>
      </w:r>
    </w:p>
    <w:p w14:paraId="254D7C90" w14:textId="77777777" w:rsidR="00066444" w:rsidRPr="00066444" w:rsidRDefault="00066444" w:rsidP="00066444">
      <w:pPr>
        <w:spacing w:after="0" w:line="240" w:lineRule="auto"/>
        <w:ind w:left="284"/>
        <w:jc w:val="both"/>
        <w:rPr>
          <w:rFonts w:ascii="Arial" w:hAnsi="Arial" w:cs="Arial"/>
          <w:sz w:val="20"/>
          <w:szCs w:val="20"/>
        </w:rPr>
      </w:pPr>
    </w:p>
    <w:p w14:paraId="62C06D7F" w14:textId="05839DE8"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la loi n° 69-4 du 24 janvier 1969, règlementant les réunions publiques, cortèges, défilés, manifestations et attroupements, </w:t>
      </w:r>
    </w:p>
    <w:p w14:paraId="1314B552" w14:textId="77777777" w:rsidR="00066444" w:rsidRPr="00066444" w:rsidRDefault="00066444" w:rsidP="00066444">
      <w:pPr>
        <w:spacing w:after="0" w:line="240" w:lineRule="auto"/>
        <w:ind w:left="284"/>
        <w:jc w:val="both"/>
        <w:rPr>
          <w:rFonts w:ascii="Arial" w:hAnsi="Arial" w:cs="Arial"/>
          <w:sz w:val="20"/>
          <w:szCs w:val="20"/>
        </w:rPr>
      </w:pPr>
    </w:p>
    <w:p w14:paraId="0B359FB2" w14:textId="28B06B64"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le décret n° 75-671 du 25 septembre 1975, fixant les attributions du ministre de la défense nationale, </w:t>
      </w:r>
    </w:p>
    <w:p w14:paraId="79795E6A" w14:textId="77777777" w:rsidR="00066444" w:rsidRPr="00066444" w:rsidRDefault="00066444" w:rsidP="00066444">
      <w:pPr>
        <w:spacing w:after="0" w:line="240" w:lineRule="auto"/>
        <w:ind w:left="284"/>
        <w:jc w:val="both"/>
        <w:rPr>
          <w:rFonts w:ascii="Arial" w:hAnsi="Arial" w:cs="Arial"/>
          <w:sz w:val="20"/>
          <w:szCs w:val="20"/>
        </w:rPr>
      </w:pPr>
    </w:p>
    <w:p w14:paraId="233C1B20" w14:textId="1C7CC409"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le décret Présidentiel n° 2015-120 du 6 juillet 2015, portant proclamation de zones d'opérations militaires et de zones d'opérations militaires clôturées, </w:t>
      </w:r>
    </w:p>
    <w:p w14:paraId="594232B1" w14:textId="77777777" w:rsidR="00066444" w:rsidRPr="00066444" w:rsidRDefault="00066444" w:rsidP="00066444">
      <w:pPr>
        <w:spacing w:after="0" w:line="240" w:lineRule="auto"/>
        <w:ind w:left="284"/>
        <w:jc w:val="both"/>
        <w:rPr>
          <w:rFonts w:ascii="Arial" w:hAnsi="Arial" w:cs="Arial"/>
          <w:sz w:val="20"/>
          <w:szCs w:val="20"/>
        </w:rPr>
      </w:pPr>
    </w:p>
    <w:p w14:paraId="53E95B96" w14:textId="4027FDD9"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le décret Présidentiel n° 2016-107 du 27 août 2016, portant nomination du chef du gouvernement et de ses membres, </w:t>
      </w:r>
    </w:p>
    <w:p w14:paraId="1218FD8A" w14:textId="77777777" w:rsidR="00066444" w:rsidRPr="00066444" w:rsidRDefault="00066444" w:rsidP="00066444">
      <w:pPr>
        <w:spacing w:after="0" w:line="240" w:lineRule="auto"/>
        <w:ind w:left="284"/>
        <w:jc w:val="both"/>
        <w:rPr>
          <w:rFonts w:ascii="Arial" w:hAnsi="Arial" w:cs="Arial"/>
          <w:sz w:val="20"/>
          <w:szCs w:val="20"/>
        </w:rPr>
      </w:pPr>
    </w:p>
    <w:p w14:paraId="3A6B75D7" w14:textId="5B9F875E"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le décret gouvernemental n° 2017-70 du 19 janvier 2017, relatif au conseil de sécurité nationale, </w:t>
      </w:r>
    </w:p>
    <w:p w14:paraId="55DB76CD" w14:textId="77777777" w:rsidR="00066444" w:rsidRPr="00066444" w:rsidRDefault="00066444" w:rsidP="00066444">
      <w:pPr>
        <w:spacing w:after="0" w:line="240" w:lineRule="auto"/>
        <w:ind w:left="284"/>
        <w:jc w:val="both"/>
        <w:rPr>
          <w:rFonts w:ascii="Arial" w:hAnsi="Arial" w:cs="Arial"/>
          <w:sz w:val="20"/>
          <w:szCs w:val="20"/>
        </w:rPr>
      </w:pPr>
    </w:p>
    <w:p w14:paraId="4794859B" w14:textId="63C3492F"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le décret Présidentiel n° 2017-124 du 12 septembre 2017, portant nomination de membres du gouvernement, </w:t>
      </w:r>
    </w:p>
    <w:p w14:paraId="6B319CCB" w14:textId="77777777" w:rsidR="00066444" w:rsidRPr="00066444" w:rsidRDefault="00066444" w:rsidP="00066444">
      <w:pPr>
        <w:spacing w:after="0" w:line="240" w:lineRule="auto"/>
        <w:ind w:left="284"/>
        <w:jc w:val="both"/>
        <w:rPr>
          <w:rFonts w:ascii="Arial" w:hAnsi="Arial" w:cs="Arial"/>
          <w:sz w:val="20"/>
          <w:szCs w:val="20"/>
        </w:rPr>
      </w:pPr>
    </w:p>
    <w:p w14:paraId="27D6769C" w14:textId="5F69716F"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le décret Présidentiel n° 2017-247 du 25 novembre 2017, portant nomination de membres du gouvernement, </w:t>
      </w:r>
    </w:p>
    <w:p w14:paraId="1663A035" w14:textId="77777777" w:rsidR="00066444" w:rsidRPr="00066444" w:rsidRDefault="00066444" w:rsidP="00066444">
      <w:pPr>
        <w:spacing w:after="0" w:line="240" w:lineRule="auto"/>
        <w:ind w:left="284"/>
        <w:jc w:val="both"/>
        <w:rPr>
          <w:rFonts w:ascii="Arial" w:hAnsi="Arial" w:cs="Arial"/>
          <w:sz w:val="20"/>
          <w:szCs w:val="20"/>
        </w:rPr>
      </w:pPr>
    </w:p>
    <w:p w14:paraId="6990F657" w14:textId="6959000B"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l'avis de l'instance nationale de protection des données personnelles, </w:t>
      </w:r>
    </w:p>
    <w:p w14:paraId="152A35D1" w14:textId="77777777" w:rsidR="00066444" w:rsidRPr="00066444" w:rsidRDefault="00066444" w:rsidP="00066444">
      <w:pPr>
        <w:spacing w:after="0" w:line="240" w:lineRule="auto"/>
        <w:ind w:left="284"/>
        <w:jc w:val="both"/>
        <w:rPr>
          <w:rFonts w:ascii="Arial" w:hAnsi="Arial" w:cs="Arial"/>
          <w:sz w:val="20"/>
          <w:szCs w:val="20"/>
        </w:rPr>
      </w:pPr>
    </w:p>
    <w:p w14:paraId="7947663B" w14:textId="7827425F"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les délibérations du conseil de sécurité nationale en date du 6 mars 2018, </w:t>
      </w:r>
    </w:p>
    <w:p w14:paraId="04D19AAB" w14:textId="77777777" w:rsidR="00066444" w:rsidRPr="00066444" w:rsidRDefault="00066444" w:rsidP="00066444">
      <w:pPr>
        <w:spacing w:after="0" w:line="240" w:lineRule="auto"/>
        <w:ind w:left="284"/>
        <w:jc w:val="both"/>
        <w:rPr>
          <w:rFonts w:ascii="Arial" w:hAnsi="Arial" w:cs="Arial"/>
          <w:sz w:val="20"/>
          <w:szCs w:val="20"/>
        </w:rPr>
      </w:pPr>
    </w:p>
    <w:p w14:paraId="4329E496" w14:textId="0705CE8D"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Vu l'avis du chef du gouvernement et du président de l'assemblée des représentants du peuple. </w:t>
      </w:r>
    </w:p>
    <w:p w14:paraId="589D86BD" w14:textId="77777777" w:rsidR="00066444" w:rsidRPr="00066444" w:rsidRDefault="00066444" w:rsidP="00066444">
      <w:pPr>
        <w:spacing w:after="0" w:line="240" w:lineRule="auto"/>
        <w:ind w:left="284"/>
        <w:jc w:val="both"/>
        <w:rPr>
          <w:rFonts w:ascii="Arial" w:hAnsi="Arial" w:cs="Arial"/>
          <w:sz w:val="20"/>
          <w:szCs w:val="20"/>
        </w:rPr>
      </w:pPr>
    </w:p>
    <w:p w14:paraId="393331C6" w14:textId="0F5F5DC8"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sz w:val="20"/>
          <w:szCs w:val="20"/>
        </w:rPr>
        <w:t xml:space="preserve">Prend le décret Présidentiel dont la teneur suit : </w:t>
      </w:r>
    </w:p>
    <w:p w14:paraId="71F0D2DF" w14:textId="77777777" w:rsidR="00066444" w:rsidRPr="00066444" w:rsidRDefault="00066444" w:rsidP="00066444">
      <w:pPr>
        <w:spacing w:after="0" w:line="240" w:lineRule="auto"/>
        <w:ind w:left="284"/>
        <w:jc w:val="both"/>
        <w:rPr>
          <w:rFonts w:ascii="Arial" w:hAnsi="Arial" w:cs="Arial"/>
          <w:sz w:val="20"/>
          <w:szCs w:val="20"/>
        </w:rPr>
      </w:pPr>
    </w:p>
    <w:p w14:paraId="7C094641" w14:textId="5DB0A2F2"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b/>
          <w:bCs/>
          <w:i/>
          <w:iCs/>
          <w:sz w:val="20"/>
          <w:szCs w:val="20"/>
        </w:rPr>
        <w:t>Article premier</w:t>
      </w:r>
      <w:r>
        <w:rPr>
          <w:rFonts w:ascii="Arial" w:hAnsi="Arial" w:cs="Arial"/>
          <w:sz w:val="20"/>
          <w:szCs w:val="20"/>
        </w:rPr>
        <w:t xml:space="preserve"> – </w:t>
      </w:r>
      <w:r w:rsidRPr="00066444">
        <w:rPr>
          <w:rFonts w:ascii="Arial" w:hAnsi="Arial" w:cs="Arial"/>
          <w:sz w:val="20"/>
          <w:szCs w:val="20"/>
        </w:rPr>
        <w:t xml:space="preserve">Il est ajouté aux dispositions de l'article 6 du décret Présidentiel n° 2015-120 du 6 juillet 2015 susvisé, un paragraphe </w:t>
      </w:r>
      <w:proofErr w:type="spellStart"/>
      <w:r w:rsidRPr="00066444">
        <w:rPr>
          <w:rFonts w:ascii="Arial" w:hAnsi="Arial" w:cs="Arial"/>
          <w:sz w:val="20"/>
          <w:szCs w:val="20"/>
        </w:rPr>
        <w:t>inclu</w:t>
      </w:r>
      <w:proofErr w:type="spellEnd"/>
      <w:r w:rsidRPr="00066444">
        <w:rPr>
          <w:rFonts w:ascii="Arial" w:hAnsi="Arial" w:cs="Arial"/>
          <w:sz w:val="20"/>
          <w:szCs w:val="20"/>
        </w:rPr>
        <w:t xml:space="preserve"> directement après le premier paragraphe comme suit : </w:t>
      </w:r>
    </w:p>
    <w:p w14:paraId="4DE7513E" w14:textId="77777777" w:rsidR="00066444" w:rsidRPr="00066444" w:rsidRDefault="00066444" w:rsidP="00066444">
      <w:pPr>
        <w:spacing w:after="0" w:line="240" w:lineRule="auto"/>
        <w:ind w:left="284"/>
        <w:jc w:val="both"/>
        <w:rPr>
          <w:rFonts w:ascii="Arial" w:hAnsi="Arial" w:cs="Arial"/>
          <w:sz w:val="20"/>
          <w:szCs w:val="20"/>
        </w:rPr>
      </w:pPr>
    </w:p>
    <w:p w14:paraId="0AD916D7" w14:textId="74CBBF81"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b/>
          <w:bCs/>
          <w:i/>
          <w:iCs/>
          <w:sz w:val="20"/>
          <w:szCs w:val="20"/>
        </w:rPr>
        <w:t>Article 6 paragraphe 2</w:t>
      </w:r>
      <w:r w:rsidRPr="00066444">
        <w:rPr>
          <w:rFonts w:ascii="Arial" w:hAnsi="Arial" w:cs="Arial"/>
          <w:sz w:val="20"/>
          <w:szCs w:val="20"/>
        </w:rPr>
        <w:t xml:space="preserve"> </w:t>
      </w:r>
      <w:r>
        <w:rPr>
          <w:rFonts w:ascii="Arial" w:hAnsi="Arial" w:cs="Arial"/>
          <w:sz w:val="20"/>
          <w:szCs w:val="20"/>
        </w:rPr>
        <w:t xml:space="preserve">– </w:t>
      </w:r>
      <w:r w:rsidRPr="00066444">
        <w:rPr>
          <w:rFonts w:ascii="Arial" w:hAnsi="Arial" w:cs="Arial"/>
          <w:sz w:val="20"/>
          <w:szCs w:val="20"/>
        </w:rPr>
        <w:t xml:space="preserve">Tenant compte de la législation en vigueur dans le domaine de la protection des données personnelles, les officiers militaires visés au paragraphe premier du présent article, peuvent utiliser les moyens et les équipements techniques destinés au traitement des données biométriques des personnes soupçonnées de commettre des crimes terroristes, se trouvant dans les zones d'opérations militaires et les régions avoisinantes prévues aux articles premier et 2 du présent décret présidentiel. Ils peuvent, en outre, saisir tous les équipements et les supports électroniques et numériques ainsi que tous les objets en possession des personnes soupçonnées conformément aux dispositions du code de procédure pénale afin de les soumettre aux expertises techniques nécessaires. </w:t>
      </w:r>
    </w:p>
    <w:p w14:paraId="1F5BE6C2" w14:textId="77777777" w:rsidR="00066444" w:rsidRPr="00066444" w:rsidRDefault="00066444" w:rsidP="00066444">
      <w:pPr>
        <w:spacing w:after="0" w:line="240" w:lineRule="auto"/>
        <w:ind w:left="284"/>
        <w:jc w:val="both"/>
        <w:rPr>
          <w:rFonts w:ascii="Arial" w:hAnsi="Arial" w:cs="Arial"/>
          <w:b/>
          <w:bCs/>
          <w:i/>
          <w:iCs/>
          <w:sz w:val="20"/>
          <w:szCs w:val="20"/>
        </w:rPr>
      </w:pPr>
    </w:p>
    <w:p w14:paraId="454DE6E2" w14:textId="56FC9E2C"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b/>
          <w:bCs/>
          <w:i/>
          <w:iCs/>
          <w:sz w:val="20"/>
          <w:szCs w:val="20"/>
        </w:rPr>
        <w:t>Art. 2</w:t>
      </w:r>
      <w:r w:rsidRPr="00066444">
        <w:rPr>
          <w:rFonts w:ascii="Arial" w:hAnsi="Arial" w:cs="Arial"/>
          <w:b/>
          <w:bCs/>
          <w:i/>
          <w:iCs/>
          <w:sz w:val="20"/>
          <w:szCs w:val="20"/>
        </w:rPr>
        <w:t xml:space="preserve"> –</w:t>
      </w:r>
      <w:r>
        <w:rPr>
          <w:rFonts w:ascii="Arial" w:hAnsi="Arial" w:cs="Arial"/>
          <w:sz w:val="20"/>
          <w:szCs w:val="20"/>
        </w:rPr>
        <w:t xml:space="preserve"> </w:t>
      </w:r>
      <w:r w:rsidRPr="00066444">
        <w:rPr>
          <w:rFonts w:ascii="Arial" w:hAnsi="Arial" w:cs="Arial"/>
          <w:sz w:val="20"/>
          <w:szCs w:val="20"/>
        </w:rPr>
        <w:t xml:space="preserve">Le deuxième paragraphe de l'article 6 du décret Présidentiel n° 2015-120 du 6 juillet 2015 est reclassé pour devenir le troisième paragraphe du même article. </w:t>
      </w:r>
    </w:p>
    <w:p w14:paraId="3E9FE8AB" w14:textId="77777777" w:rsidR="00066444" w:rsidRPr="00066444" w:rsidRDefault="00066444" w:rsidP="00066444">
      <w:pPr>
        <w:spacing w:after="0" w:line="240" w:lineRule="auto"/>
        <w:ind w:left="284"/>
        <w:jc w:val="both"/>
        <w:rPr>
          <w:rFonts w:ascii="Arial" w:hAnsi="Arial" w:cs="Arial"/>
          <w:sz w:val="20"/>
          <w:szCs w:val="20"/>
        </w:rPr>
      </w:pPr>
    </w:p>
    <w:p w14:paraId="589F4F75" w14:textId="4E759C6E" w:rsidR="00066444" w:rsidRPr="00066444" w:rsidRDefault="00066444" w:rsidP="00066444">
      <w:pPr>
        <w:spacing w:after="0" w:line="240" w:lineRule="auto"/>
        <w:ind w:left="284"/>
        <w:jc w:val="both"/>
        <w:rPr>
          <w:rFonts w:ascii="Arial" w:hAnsi="Arial" w:cs="Arial"/>
          <w:sz w:val="20"/>
          <w:szCs w:val="20"/>
        </w:rPr>
      </w:pPr>
      <w:r w:rsidRPr="00066444">
        <w:rPr>
          <w:rFonts w:ascii="Arial" w:hAnsi="Arial" w:cs="Arial"/>
          <w:b/>
          <w:bCs/>
          <w:i/>
          <w:iCs/>
          <w:sz w:val="20"/>
          <w:szCs w:val="20"/>
        </w:rPr>
        <w:lastRenderedPageBreak/>
        <w:t>Art. 3</w:t>
      </w:r>
      <w:r>
        <w:rPr>
          <w:rFonts w:ascii="Arial" w:hAnsi="Arial" w:cs="Arial"/>
          <w:b/>
          <w:bCs/>
          <w:i/>
          <w:iCs/>
          <w:sz w:val="20"/>
          <w:szCs w:val="20"/>
        </w:rPr>
        <w:t xml:space="preserve"> – </w:t>
      </w:r>
      <w:r w:rsidRPr="00066444">
        <w:rPr>
          <w:rFonts w:ascii="Arial" w:hAnsi="Arial" w:cs="Arial"/>
          <w:sz w:val="20"/>
          <w:szCs w:val="20"/>
        </w:rPr>
        <w:t xml:space="preserve">Les ministres sont chargés, chacun en ce qui le concerne, de l'exécution du présent décret présidentiel qui sera publié au Journal Officiel de la République Tunisienne. </w:t>
      </w:r>
    </w:p>
    <w:p w14:paraId="7CCF1060" w14:textId="77777777" w:rsidR="00066444" w:rsidRPr="00066444" w:rsidRDefault="00066444" w:rsidP="00066444">
      <w:pPr>
        <w:spacing w:after="0" w:line="240" w:lineRule="auto"/>
        <w:ind w:left="284"/>
        <w:jc w:val="both"/>
        <w:rPr>
          <w:rFonts w:ascii="Arial" w:hAnsi="Arial" w:cs="Arial"/>
          <w:b/>
          <w:bCs/>
          <w:sz w:val="20"/>
          <w:szCs w:val="20"/>
        </w:rPr>
      </w:pPr>
    </w:p>
    <w:p w14:paraId="72B80FCC" w14:textId="17ADACE8" w:rsidR="00066444" w:rsidRPr="00066444" w:rsidRDefault="00066444" w:rsidP="00066444">
      <w:pPr>
        <w:spacing w:after="0" w:line="240" w:lineRule="auto"/>
        <w:ind w:left="284"/>
        <w:jc w:val="both"/>
        <w:rPr>
          <w:rFonts w:ascii="Arial" w:hAnsi="Arial" w:cs="Arial"/>
          <w:b/>
          <w:bCs/>
          <w:sz w:val="20"/>
          <w:szCs w:val="20"/>
        </w:rPr>
      </w:pPr>
      <w:r w:rsidRPr="00066444">
        <w:rPr>
          <w:rFonts w:ascii="Arial" w:hAnsi="Arial" w:cs="Arial"/>
          <w:b/>
          <w:bCs/>
          <w:sz w:val="20"/>
          <w:szCs w:val="20"/>
        </w:rPr>
        <w:t xml:space="preserve">Tunis, le 13 avril 2018. </w:t>
      </w:r>
    </w:p>
    <w:p w14:paraId="7A145013" w14:textId="2EB439BF" w:rsidR="000018EB" w:rsidRPr="00066444" w:rsidRDefault="000018EB" w:rsidP="00066444">
      <w:pPr>
        <w:spacing w:after="0" w:line="240" w:lineRule="auto"/>
        <w:ind w:left="284"/>
        <w:jc w:val="both"/>
        <w:rPr>
          <w:rFonts w:ascii="Arial" w:hAnsi="Arial" w:cs="Arial"/>
          <w:b/>
          <w:bCs/>
          <w:sz w:val="20"/>
          <w:szCs w:val="20"/>
        </w:rPr>
      </w:pPr>
    </w:p>
    <w:sectPr w:rsidR="000018EB" w:rsidRPr="00066444"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535D3" w14:textId="77777777" w:rsidR="009E5A4D" w:rsidRDefault="009E5A4D" w:rsidP="008F3F2D">
      <w:r>
        <w:separator/>
      </w:r>
    </w:p>
  </w:endnote>
  <w:endnote w:type="continuationSeparator" w:id="0">
    <w:p w14:paraId="1197076E" w14:textId="77777777" w:rsidR="009E5A4D" w:rsidRDefault="009E5A4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8746C4" w:rsidRPr="00D55CDF" w:rsidRDefault="008746C4">
    <w:pPr>
      <w:pStyle w:val="Footer"/>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018EB">
                            <w:rPr>
                              <w:rFonts w:ascii="Arial" w:hAnsi="Arial" w:cs="Arial"/>
                              <w:noProof/>
                              <w:sz w:val="18"/>
                              <w:szCs w:val="18"/>
                            </w:rPr>
                            <w:t>16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5AA2">
                            <w:rPr>
                              <w:rFonts w:ascii="Arial" w:hAnsi="Arial" w:cs="Arial"/>
                              <w:noProof/>
                              <w:sz w:val="18"/>
                              <w:szCs w:val="18"/>
                            </w:rPr>
                            <w:t>1</w:t>
                          </w:r>
                          <w:r w:rsidRPr="001E5DD5">
                            <w:rPr>
                              <w:rFonts w:ascii="Arial" w:hAnsi="Arial" w:cs="Arial"/>
                              <w:noProof/>
                              <w:sz w:val="18"/>
                              <w:szCs w:val="18"/>
                            </w:rPr>
                            <w:fldChar w:fldCharType="end"/>
                          </w:r>
                        </w:p>
                        <w:p w14:paraId="75F5800F" w14:textId="77777777" w:rsidR="008746C4" w:rsidRDefault="008746C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018EB">
                      <w:rPr>
                        <w:rFonts w:ascii="Arial" w:hAnsi="Arial" w:cs="Arial"/>
                        <w:noProof/>
                        <w:sz w:val="18"/>
                        <w:szCs w:val="18"/>
                      </w:rPr>
                      <w:t>16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5AA2">
                      <w:rPr>
                        <w:rFonts w:ascii="Arial" w:hAnsi="Arial" w:cs="Arial"/>
                        <w:noProof/>
                        <w:sz w:val="18"/>
                        <w:szCs w:val="18"/>
                      </w:rPr>
                      <w:t>1</w:t>
                    </w:r>
                    <w:r w:rsidRPr="001E5DD5">
                      <w:rPr>
                        <w:rFonts w:ascii="Arial" w:hAnsi="Arial" w:cs="Arial"/>
                        <w:noProof/>
                        <w:sz w:val="18"/>
                        <w:szCs w:val="18"/>
                      </w:rPr>
                      <w:fldChar w:fldCharType="end"/>
                    </w:r>
                  </w:p>
                  <w:p w14:paraId="75F5800F" w14:textId="77777777" w:rsidR="008746C4" w:rsidRDefault="008746C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8746C4" w:rsidRDefault="008746C4">
    <w:pPr>
      <w:pStyle w:val="Footer"/>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F7C1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F7C1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8746C4" w:rsidRPr="00A00644" w:rsidRDefault="008746C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F7C1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F7C1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1B83" w14:textId="77777777" w:rsidR="008746C4" w:rsidRDefault="0087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683D" w14:textId="77777777" w:rsidR="009E5A4D" w:rsidRDefault="009E5A4D" w:rsidP="008F3F2D">
      <w:r>
        <w:separator/>
      </w:r>
    </w:p>
  </w:footnote>
  <w:footnote w:type="continuationSeparator" w:id="0">
    <w:p w14:paraId="49126984" w14:textId="77777777" w:rsidR="009E5A4D" w:rsidRDefault="009E5A4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8746C4" w:rsidRDefault="008746C4">
    <w:pPr>
      <w:pStyle w:val="Header"/>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746C4" w:rsidRDefault="008746C4" w:rsidP="0097472C">
                          <w:pPr>
                            <w:spacing w:after="0" w:line="240" w:lineRule="auto"/>
                            <w:ind w:left="567"/>
                            <w:rPr>
                              <w:rFonts w:ascii="Arial" w:eastAsia="Times New Roman" w:hAnsi="Arial" w:cs="Times New Roman"/>
                              <w:sz w:val="24"/>
                              <w:szCs w:val="24"/>
                            </w:rPr>
                          </w:pPr>
                        </w:p>
                        <w:p w14:paraId="6E13C0BA" w14:textId="77777777" w:rsidR="008746C4" w:rsidRPr="005F7BF4" w:rsidRDefault="008746C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746C4" w:rsidRPr="005F7BF4" w:rsidRDefault="008746C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746C4" w:rsidRDefault="008746C4" w:rsidP="0097472C">
                    <w:pPr>
                      <w:spacing w:after="0" w:line="240" w:lineRule="auto"/>
                      <w:ind w:left="567"/>
                      <w:rPr>
                        <w:rFonts w:ascii="Arial" w:eastAsia="Times New Roman" w:hAnsi="Arial" w:cs="Times New Roman"/>
                        <w:sz w:val="24"/>
                        <w:szCs w:val="24"/>
                      </w:rPr>
                    </w:pPr>
                  </w:p>
                  <w:p w14:paraId="6E13C0BA" w14:textId="77777777" w:rsidR="008746C4" w:rsidRPr="005F7BF4" w:rsidRDefault="008746C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746C4" w:rsidRPr="005F7BF4" w:rsidRDefault="008746C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8746C4" w:rsidRDefault="008746C4">
    <w:pPr>
      <w:pStyle w:val="Header"/>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746C4" w:rsidRDefault="008746C4" w:rsidP="0075404E">
                          <w:pPr>
                            <w:spacing w:after="0" w:line="20" w:lineRule="atLeast"/>
                            <w:ind w:left="567"/>
                            <w:rPr>
                              <w:rFonts w:ascii="Arial" w:eastAsia="Times New Roman" w:hAnsi="Arial" w:cs="Arial"/>
                              <w:sz w:val="24"/>
                              <w:szCs w:val="20"/>
                              <w:lang w:eastAsia="en-US"/>
                            </w:rPr>
                          </w:pPr>
                        </w:p>
                        <w:p w14:paraId="590536B7" w14:textId="77777777" w:rsidR="008746C4" w:rsidRPr="00317C84" w:rsidRDefault="008746C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746C4" w:rsidRPr="00317C84" w:rsidRDefault="008746C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746C4" w:rsidRPr="00D55CDF" w:rsidRDefault="008746C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746C4" w:rsidRDefault="008746C4" w:rsidP="0075404E">
                    <w:pPr>
                      <w:spacing w:after="0" w:line="20" w:lineRule="atLeast"/>
                      <w:ind w:left="567"/>
                      <w:rPr>
                        <w:rFonts w:ascii="Arial" w:eastAsia="Times New Roman" w:hAnsi="Arial" w:cs="Arial"/>
                        <w:sz w:val="24"/>
                        <w:szCs w:val="20"/>
                        <w:lang w:eastAsia="en-US"/>
                      </w:rPr>
                    </w:pPr>
                  </w:p>
                  <w:p w14:paraId="590536B7" w14:textId="77777777" w:rsidR="008746C4" w:rsidRPr="00317C84" w:rsidRDefault="008746C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746C4" w:rsidRPr="00317C84" w:rsidRDefault="008746C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746C4" w:rsidRPr="00D55CDF" w:rsidRDefault="008746C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6E34" w14:textId="77777777" w:rsidR="008746C4" w:rsidRDefault="0087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EB0"/>
    <w:multiLevelType w:val="hybridMultilevel"/>
    <w:tmpl w:val="CF98741C"/>
    <w:lvl w:ilvl="0" w:tplc="0AAE1CB6">
      <w:start w:val="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99816ED"/>
    <w:multiLevelType w:val="hybridMultilevel"/>
    <w:tmpl w:val="B89E12E6"/>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C5652BC"/>
    <w:multiLevelType w:val="hybridMultilevel"/>
    <w:tmpl w:val="9C92F4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231058BF"/>
    <w:multiLevelType w:val="hybridMultilevel"/>
    <w:tmpl w:val="B41AD1B2"/>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65B1F0E"/>
    <w:multiLevelType w:val="hybridMultilevel"/>
    <w:tmpl w:val="1F00A4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95E306C"/>
    <w:multiLevelType w:val="hybridMultilevel"/>
    <w:tmpl w:val="B6EA9F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0236BB8"/>
    <w:multiLevelType w:val="hybridMultilevel"/>
    <w:tmpl w:val="2ABE2D0A"/>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30A90B79"/>
    <w:multiLevelType w:val="hybridMultilevel"/>
    <w:tmpl w:val="921807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52F7F39"/>
    <w:multiLevelType w:val="hybridMultilevel"/>
    <w:tmpl w:val="63B0E5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A9C1F98"/>
    <w:multiLevelType w:val="hybridMultilevel"/>
    <w:tmpl w:val="85DEF9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F41694C"/>
    <w:multiLevelType w:val="hybridMultilevel"/>
    <w:tmpl w:val="7FF0843C"/>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4F6A5C93"/>
    <w:multiLevelType w:val="hybridMultilevel"/>
    <w:tmpl w:val="72B4FC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520C5CCC"/>
    <w:multiLevelType w:val="hybridMultilevel"/>
    <w:tmpl w:val="A7B081A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CA2F82"/>
    <w:multiLevelType w:val="hybridMultilevel"/>
    <w:tmpl w:val="80EA1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9A67A0F"/>
    <w:multiLevelType w:val="hybridMultilevel"/>
    <w:tmpl w:val="EBCCA0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70360F5C"/>
    <w:multiLevelType w:val="hybridMultilevel"/>
    <w:tmpl w:val="D87C94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4"/>
  </w:num>
  <w:num w:numId="3">
    <w:abstractNumId w:val="2"/>
  </w:num>
  <w:num w:numId="4">
    <w:abstractNumId w:val="10"/>
  </w:num>
  <w:num w:numId="5">
    <w:abstractNumId w:val="1"/>
  </w:num>
  <w:num w:numId="6">
    <w:abstractNumId w:val="3"/>
  </w:num>
  <w:num w:numId="7">
    <w:abstractNumId w:val="6"/>
  </w:num>
  <w:num w:numId="8">
    <w:abstractNumId w:val="12"/>
  </w:num>
  <w:num w:numId="9">
    <w:abstractNumId w:val="5"/>
  </w:num>
  <w:num w:numId="10">
    <w:abstractNumId w:val="15"/>
  </w:num>
  <w:num w:numId="11">
    <w:abstractNumId w:val="4"/>
  </w:num>
  <w:num w:numId="12">
    <w:abstractNumId w:val="9"/>
  </w:num>
  <w:num w:numId="13">
    <w:abstractNumId w:val="13"/>
  </w:num>
  <w:num w:numId="14">
    <w:abstractNumId w:val="11"/>
  </w:num>
  <w:num w:numId="15">
    <w:abstractNumId w:val="7"/>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18EB"/>
    <w:rsid w:val="000414A7"/>
    <w:rsid w:val="00062ECD"/>
    <w:rsid w:val="00066444"/>
    <w:rsid w:val="0008560E"/>
    <w:rsid w:val="000B0D20"/>
    <w:rsid w:val="000C24FA"/>
    <w:rsid w:val="000C3F27"/>
    <w:rsid w:val="000C7FAD"/>
    <w:rsid w:val="000D0DE1"/>
    <w:rsid w:val="001323AC"/>
    <w:rsid w:val="00137334"/>
    <w:rsid w:val="001A535F"/>
    <w:rsid w:val="001B250B"/>
    <w:rsid w:val="001E10BA"/>
    <w:rsid w:val="001E5DD5"/>
    <w:rsid w:val="001E6787"/>
    <w:rsid w:val="001E68C4"/>
    <w:rsid w:val="001F6FB9"/>
    <w:rsid w:val="0020398F"/>
    <w:rsid w:val="002B19EE"/>
    <w:rsid w:val="00354137"/>
    <w:rsid w:val="00356C00"/>
    <w:rsid w:val="00383314"/>
    <w:rsid w:val="00385334"/>
    <w:rsid w:val="003B6CD4"/>
    <w:rsid w:val="003D5AA2"/>
    <w:rsid w:val="003F4AF0"/>
    <w:rsid w:val="004808F1"/>
    <w:rsid w:val="004977E0"/>
    <w:rsid w:val="004E246D"/>
    <w:rsid w:val="00503E5A"/>
    <w:rsid w:val="00571387"/>
    <w:rsid w:val="00584322"/>
    <w:rsid w:val="00595DBD"/>
    <w:rsid w:val="005E7CA9"/>
    <w:rsid w:val="005F7BF4"/>
    <w:rsid w:val="0060594F"/>
    <w:rsid w:val="006353B0"/>
    <w:rsid w:val="00684129"/>
    <w:rsid w:val="006C0270"/>
    <w:rsid w:val="006C5E83"/>
    <w:rsid w:val="006E387C"/>
    <w:rsid w:val="007244D3"/>
    <w:rsid w:val="0075404E"/>
    <w:rsid w:val="007E7F34"/>
    <w:rsid w:val="0081344C"/>
    <w:rsid w:val="00816C25"/>
    <w:rsid w:val="008329FC"/>
    <w:rsid w:val="00846ED4"/>
    <w:rsid w:val="00847F00"/>
    <w:rsid w:val="008746C4"/>
    <w:rsid w:val="00874F3E"/>
    <w:rsid w:val="0089552E"/>
    <w:rsid w:val="008F3F2D"/>
    <w:rsid w:val="00911CFA"/>
    <w:rsid w:val="009157FD"/>
    <w:rsid w:val="00957CDF"/>
    <w:rsid w:val="00957F0E"/>
    <w:rsid w:val="0097472C"/>
    <w:rsid w:val="00993EF9"/>
    <w:rsid w:val="009E055F"/>
    <w:rsid w:val="009E5A4D"/>
    <w:rsid w:val="009F7C1F"/>
    <w:rsid w:val="00A00644"/>
    <w:rsid w:val="00A0369D"/>
    <w:rsid w:val="00A04F09"/>
    <w:rsid w:val="00A23AAD"/>
    <w:rsid w:val="00A24F23"/>
    <w:rsid w:val="00A77B68"/>
    <w:rsid w:val="00A84B7B"/>
    <w:rsid w:val="00A85FD5"/>
    <w:rsid w:val="00A90F21"/>
    <w:rsid w:val="00A9459F"/>
    <w:rsid w:val="00AA78A6"/>
    <w:rsid w:val="00AD2268"/>
    <w:rsid w:val="00B05438"/>
    <w:rsid w:val="00B617F1"/>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A1868"/>
    <w:rsid w:val="00DC4590"/>
    <w:rsid w:val="00E10A35"/>
    <w:rsid w:val="00E57DAB"/>
    <w:rsid w:val="00E9240E"/>
    <w:rsid w:val="00E953A2"/>
    <w:rsid w:val="00EB590F"/>
    <w:rsid w:val="00ED7568"/>
    <w:rsid w:val="00EF16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character" w:styleId="FootnoteReference">
    <w:name w:val="footnote reference"/>
    <w:basedOn w:val="DefaultParagraphFont"/>
    <w:uiPriority w:val="99"/>
    <w:semiHidden/>
    <w:unhideWhenUsed/>
    <w:rsid w:val="00CA3D64"/>
    <w:rPr>
      <w:vertAlign w:val="superscript"/>
    </w:rPr>
  </w:style>
  <w:style w:type="table" w:styleId="TableGrid">
    <w:name w:val="Table Grid"/>
    <w:basedOn w:val="Table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CDF"/>
    <w:rPr>
      <w:sz w:val="22"/>
      <w:szCs w:val="22"/>
      <w:lang w:val="fr-FR" w:eastAsia="fr-FR"/>
    </w:rPr>
  </w:style>
  <w:style w:type="table" w:customStyle="1" w:styleId="Grilledutableau2">
    <w:name w:val="Grille du tableau2"/>
    <w:basedOn w:val="TableNormal"/>
    <w:next w:val="TableGrid"/>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9062-FD54-4403-B05F-901A51C2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Alya Melkia</cp:lastModifiedBy>
  <cp:revision>2</cp:revision>
  <cp:lastPrinted>2015-12-11T15:01:00Z</cp:lastPrinted>
  <dcterms:created xsi:type="dcterms:W3CDTF">2018-06-26T15:59:00Z</dcterms:created>
  <dcterms:modified xsi:type="dcterms:W3CDTF">2018-06-26T15:59:00Z</dcterms:modified>
</cp:coreProperties>
</file>