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0B2E9" w14:textId="77777777" w:rsidR="00776204" w:rsidRDefault="00776204" w:rsidP="00776204">
      <w:pPr>
        <w:bidi/>
        <w:spacing w:after="0" w:line="240" w:lineRule="auto"/>
        <w:ind w:left="283"/>
        <w:jc w:val="both"/>
        <w:rPr>
          <w:rFonts w:ascii="Arial" w:hAnsi="Arial" w:cs="Arial"/>
          <w:lang w:bidi="ar-TN"/>
        </w:rPr>
      </w:pPr>
    </w:p>
    <w:p w14:paraId="2837784D" w14:textId="785C5626" w:rsidR="00776204" w:rsidRDefault="008F503B" w:rsidP="008F503B">
      <w:pPr>
        <w:bidi/>
        <w:spacing w:before="100" w:beforeAutospacing="1" w:after="0" w:line="240" w:lineRule="auto"/>
        <w:ind w:left="283"/>
        <w:jc w:val="both"/>
        <w:rPr>
          <w:rFonts w:ascii="Arial" w:hAnsi="Arial" w:cs="Arial" w:hint="cs"/>
          <w:b/>
          <w:bCs/>
          <w:sz w:val="24"/>
          <w:szCs w:val="24"/>
          <w:rtl/>
          <w:lang w:bidi="ar-TN"/>
        </w:rPr>
      </w:pPr>
      <w:r>
        <w:rPr>
          <w:rFonts w:ascii="Arial" w:hAnsi="Arial" w:cs="Arial" w:hint="cs"/>
          <w:b/>
          <w:bCs/>
          <w:sz w:val="24"/>
          <w:szCs w:val="24"/>
          <w:rtl/>
          <w:lang w:bidi="ar-TN"/>
        </w:rPr>
        <w:t>منشور عدد 29 لسنة 2014 مؤرخ في 22 أكتوبر 2014 حول الإجراءات تعبئة الموارد الخارجية لتمويل المشاريع العمومية ومتابعة تنفيذها</w:t>
      </w:r>
    </w:p>
    <w:p w14:paraId="6321749F" w14:textId="77777777" w:rsidR="00602355" w:rsidRDefault="008F503B" w:rsidP="00602355">
      <w:pPr>
        <w:bidi/>
        <w:spacing w:before="100" w:beforeAutospacing="1" w:after="0" w:line="240" w:lineRule="auto"/>
        <w:ind w:left="283"/>
        <w:jc w:val="center"/>
        <w:rPr>
          <w:rFonts w:ascii="Arial" w:hAnsi="Arial" w:cs="Arial"/>
          <w:b/>
          <w:bCs/>
          <w:sz w:val="24"/>
          <w:szCs w:val="24"/>
          <w:lang w:bidi="ar-TN"/>
        </w:rPr>
      </w:pPr>
      <w:proofErr w:type="gramStart"/>
      <w:r>
        <w:rPr>
          <w:rFonts w:ascii="Arial" w:hAnsi="Arial" w:cs="Arial" w:hint="cs"/>
          <w:b/>
          <w:bCs/>
          <w:sz w:val="24"/>
          <w:szCs w:val="24"/>
          <w:rtl/>
          <w:lang w:bidi="ar-TN"/>
        </w:rPr>
        <w:t>من</w:t>
      </w:r>
      <w:proofErr w:type="gramEnd"/>
      <w:r>
        <w:rPr>
          <w:rFonts w:ascii="Arial" w:hAnsi="Arial" w:cs="Arial" w:hint="cs"/>
          <w:b/>
          <w:bCs/>
          <w:sz w:val="24"/>
          <w:szCs w:val="24"/>
          <w:rtl/>
          <w:lang w:bidi="ar-TN"/>
        </w:rPr>
        <w:t xml:space="preserve"> رئيس الح</w:t>
      </w:r>
      <w:r w:rsidR="00602355">
        <w:rPr>
          <w:rFonts w:ascii="Arial" w:hAnsi="Arial" w:cs="Arial" w:hint="cs"/>
          <w:b/>
          <w:bCs/>
          <w:sz w:val="24"/>
          <w:szCs w:val="24"/>
          <w:rtl/>
          <w:lang w:bidi="ar-TN"/>
        </w:rPr>
        <w:t>كومة</w:t>
      </w:r>
    </w:p>
    <w:p w14:paraId="160324AC" w14:textId="1583E3E3" w:rsidR="008F503B" w:rsidRDefault="008F503B" w:rsidP="00602355">
      <w:pPr>
        <w:bidi/>
        <w:spacing w:before="100" w:beforeAutospacing="1" w:after="0" w:line="240" w:lineRule="auto"/>
        <w:ind w:left="283"/>
        <w:jc w:val="center"/>
        <w:rPr>
          <w:rFonts w:ascii="Arial" w:hAnsi="Arial" w:cs="Arial" w:hint="cs"/>
          <w:b/>
          <w:bCs/>
          <w:sz w:val="24"/>
          <w:szCs w:val="24"/>
          <w:rtl/>
          <w:lang w:bidi="ar-TN"/>
        </w:rPr>
      </w:pPr>
      <w:r>
        <w:rPr>
          <w:rFonts w:ascii="Arial" w:hAnsi="Arial" w:cs="Arial" w:hint="cs"/>
          <w:b/>
          <w:bCs/>
          <w:sz w:val="24"/>
          <w:szCs w:val="24"/>
          <w:rtl/>
          <w:lang w:bidi="ar-TN"/>
        </w:rPr>
        <w:t>إلى السيدات والسادة الوزراء وكتاب الدولة</w:t>
      </w:r>
    </w:p>
    <w:p w14:paraId="5A47F808" w14:textId="77777777" w:rsidR="008F503B" w:rsidRDefault="008F503B" w:rsidP="008F503B">
      <w:pPr>
        <w:bidi/>
        <w:spacing w:before="100" w:beforeAutospacing="1" w:after="0" w:line="240" w:lineRule="auto"/>
        <w:ind w:left="283"/>
        <w:jc w:val="both"/>
        <w:rPr>
          <w:rFonts w:ascii="Arial" w:hAnsi="Arial" w:cs="Arial" w:hint="cs"/>
          <w:sz w:val="24"/>
          <w:szCs w:val="24"/>
          <w:rtl/>
          <w:lang w:bidi="ar-TN"/>
        </w:rPr>
      </w:pPr>
      <w:r w:rsidRPr="00602355">
        <w:rPr>
          <w:rFonts w:ascii="Arial" w:hAnsi="Arial" w:cs="Arial" w:hint="cs"/>
          <w:b/>
          <w:bCs/>
          <w:rtl/>
          <w:lang w:bidi="ar-TN"/>
        </w:rPr>
        <w:t>الموضوع:</w:t>
      </w:r>
      <w:r>
        <w:rPr>
          <w:rFonts w:ascii="Arial" w:hAnsi="Arial" w:cs="Arial" w:hint="cs"/>
          <w:b/>
          <w:bCs/>
          <w:sz w:val="24"/>
          <w:szCs w:val="24"/>
          <w:rtl/>
          <w:lang w:bidi="ar-TN"/>
        </w:rPr>
        <w:t xml:space="preserve"> </w:t>
      </w:r>
      <w:r w:rsidRPr="008F503B">
        <w:rPr>
          <w:rFonts w:ascii="Arial" w:hAnsi="Arial" w:cs="Arial" w:hint="cs"/>
          <w:sz w:val="24"/>
          <w:szCs w:val="24"/>
          <w:rtl/>
          <w:lang w:bidi="ar-TN"/>
        </w:rPr>
        <w:t>حول الإجراءات تعبئة الموارد الخارجية لتمويل المشاريع العمومية ومتابعة تنفيذها</w:t>
      </w:r>
    </w:p>
    <w:p w14:paraId="30230EBF" w14:textId="4BF97526" w:rsidR="008F503B" w:rsidRPr="008F503B" w:rsidRDefault="008F503B" w:rsidP="008F503B">
      <w:pPr>
        <w:bidi/>
        <w:spacing w:before="100" w:beforeAutospacing="1" w:after="0" w:line="240" w:lineRule="auto"/>
        <w:ind w:left="283"/>
        <w:jc w:val="both"/>
        <w:rPr>
          <w:rFonts w:ascii="Arial" w:hAnsi="Arial" w:cs="Arial" w:hint="cs"/>
          <w:rtl/>
          <w:lang w:bidi="ar-TN"/>
        </w:rPr>
      </w:pPr>
      <w:proofErr w:type="gramStart"/>
      <w:r w:rsidRPr="008F503B">
        <w:rPr>
          <w:rFonts w:ascii="Arial" w:hAnsi="Arial" w:cs="Arial" w:hint="cs"/>
          <w:rtl/>
          <w:lang w:bidi="ar-TN"/>
        </w:rPr>
        <w:t>وبعد</w:t>
      </w:r>
      <w:proofErr w:type="gramEnd"/>
      <w:r w:rsidRPr="008F503B">
        <w:rPr>
          <w:rFonts w:ascii="Arial" w:hAnsi="Arial" w:cs="Arial" w:hint="cs"/>
          <w:rtl/>
          <w:lang w:bidi="ar-TN"/>
        </w:rPr>
        <w:t>،</w:t>
      </w:r>
    </w:p>
    <w:p w14:paraId="3C1022C0" w14:textId="7B71A267" w:rsidR="008F503B" w:rsidRPr="008F503B" w:rsidRDefault="008F503B" w:rsidP="008F503B">
      <w:pPr>
        <w:bidi/>
        <w:spacing w:before="100" w:beforeAutospacing="1" w:after="0" w:line="240" w:lineRule="auto"/>
        <w:ind w:left="283"/>
        <w:jc w:val="both"/>
        <w:rPr>
          <w:rFonts w:ascii="Arial" w:hAnsi="Arial" w:cs="Arial" w:hint="cs"/>
          <w:rtl/>
          <w:lang w:bidi="ar-TN"/>
        </w:rPr>
      </w:pPr>
      <w:r w:rsidRPr="008F503B">
        <w:rPr>
          <w:rFonts w:ascii="Arial" w:hAnsi="Arial" w:cs="Arial" w:hint="cs"/>
          <w:rtl/>
          <w:lang w:bidi="ar-TN"/>
        </w:rPr>
        <w:t>لقد لوحظ خلال السنوات الأخيرة بروز إشكاليات على مستوى التصرف في ملفات التمويل الخارجي مرده بالأساس إلى أن بعض الوزارات والمؤسسا</w:t>
      </w:r>
      <w:bookmarkStart w:id="0" w:name="_GoBack"/>
      <w:bookmarkEnd w:id="0"/>
      <w:r w:rsidRPr="008F503B">
        <w:rPr>
          <w:rFonts w:ascii="Arial" w:hAnsi="Arial" w:cs="Arial" w:hint="cs"/>
          <w:rtl/>
          <w:lang w:bidi="ar-TN"/>
        </w:rPr>
        <w:t>ت العمومية تتولى إخالة ملفات طلب التمويل الخارجي لمشاريعها مباشرة إلى الأطراف الممولة، وذلك على خلاف التراتيب والإجراءات التي يتعين اتباعها فب مجال تعبئة الموارد الخارجية.</w:t>
      </w:r>
    </w:p>
    <w:p w14:paraId="764CCD6C" w14:textId="29B3811E" w:rsidR="008F503B" w:rsidRPr="008F503B" w:rsidRDefault="008F503B" w:rsidP="008F503B">
      <w:pPr>
        <w:bidi/>
        <w:spacing w:before="100" w:beforeAutospacing="1" w:after="0" w:line="240" w:lineRule="auto"/>
        <w:ind w:left="283"/>
        <w:jc w:val="both"/>
        <w:rPr>
          <w:rFonts w:ascii="Arial" w:hAnsi="Arial" w:cs="Arial" w:hint="cs"/>
          <w:rtl/>
          <w:lang w:bidi="ar-TN"/>
        </w:rPr>
      </w:pPr>
      <w:r w:rsidRPr="008F503B">
        <w:rPr>
          <w:rFonts w:ascii="Arial" w:hAnsi="Arial" w:cs="Arial" w:hint="cs"/>
          <w:rtl/>
          <w:lang w:bidi="ar-TN"/>
        </w:rPr>
        <w:t>وحرصا على إضفاء مزيد النجاعة على التصرف في ملفات التعاون المالي الدولي وإحكام التنسيق بين مختلف الأطراف المتدخلة في هذا المجال، يجدر التذكير بالإجراءات الواجب اعتمادها وفقا للمشمولات المضبوطة لكل هيكل متدخل بمقتضى النصوص الترتيبية ذات الصلة:</w:t>
      </w:r>
    </w:p>
    <w:p w14:paraId="01EAD9D5" w14:textId="07F5AE27" w:rsidR="008F503B" w:rsidRDefault="008F503B" w:rsidP="008F503B">
      <w:pPr>
        <w:bidi/>
        <w:spacing w:before="100" w:beforeAutospacing="1" w:after="0" w:line="240" w:lineRule="auto"/>
        <w:ind w:left="283"/>
        <w:jc w:val="both"/>
        <w:rPr>
          <w:rFonts w:ascii="Arial" w:hAnsi="Arial" w:cs="Arial" w:hint="cs"/>
          <w:rtl/>
          <w:lang w:bidi="ar-TN"/>
        </w:rPr>
      </w:pPr>
      <w:r>
        <w:rPr>
          <w:rFonts w:ascii="Arial" w:hAnsi="Arial" w:cs="Arial" w:hint="cs"/>
          <w:b/>
          <w:bCs/>
          <w:sz w:val="24"/>
          <w:szCs w:val="24"/>
          <w:rtl/>
          <w:lang w:bidi="ar-TN"/>
        </w:rPr>
        <w:t xml:space="preserve">أولا: </w:t>
      </w:r>
      <w:r w:rsidRPr="008F503B">
        <w:rPr>
          <w:rFonts w:ascii="Arial" w:hAnsi="Arial" w:cs="Arial" w:hint="cs"/>
          <w:rtl/>
          <w:lang w:bidi="ar-TN"/>
        </w:rPr>
        <w:t xml:space="preserve">تتولى مختلف الوزارات القطاعية والمؤسسات المعنية </w:t>
      </w:r>
      <w:proofErr w:type="gramStart"/>
      <w:r w:rsidRPr="008F503B">
        <w:rPr>
          <w:rFonts w:ascii="Arial" w:hAnsi="Arial" w:cs="Arial" w:hint="cs"/>
          <w:rtl/>
          <w:lang w:bidi="ar-TN"/>
        </w:rPr>
        <w:t>توجيه</w:t>
      </w:r>
      <w:proofErr w:type="gramEnd"/>
      <w:r w:rsidRPr="008F503B">
        <w:rPr>
          <w:rFonts w:ascii="Arial" w:hAnsi="Arial" w:cs="Arial" w:hint="cs"/>
          <w:rtl/>
          <w:lang w:bidi="ar-TN"/>
        </w:rPr>
        <w:t xml:space="preserve"> طلبات تمويل المشاريع المقترحة إلى الوزارة </w:t>
      </w:r>
      <w:r>
        <w:rPr>
          <w:rFonts w:ascii="Arial" w:hAnsi="Arial" w:cs="Arial" w:hint="cs"/>
          <w:rtl/>
          <w:lang w:bidi="ar-TN"/>
        </w:rPr>
        <w:t>المكلفة بالتنمية والتعاون الدولي. ويتعين في هذا الخصوص التأكيد على ضرورة أن تكون هذه الطلبات مرفوقة بالدراسات الأولية مه توضيح كلفتها وخطط تمويلها.</w:t>
      </w:r>
    </w:p>
    <w:p w14:paraId="4FE7BACA" w14:textId="5B19E07A" w:rsidR="008F503B" w:rsidRPr="000667C0" w:rsidRDefault="008F503B" w:rsidP="008F503B">
      <w:pPr>
        <w:bidi/>
        <w:spacing w:before="100" w:beforeAutospacing="1" w:after="0" w:line="240" w:lineRule="auto"/>
        <w:ind w:left="283"/>
        <w:jc w:val="both"/>
        <w:rPr>
          <w:rFonts w:ascii="Arial" w:hAnsi="Arial" w:cs="Arial" w:hint="cs"/>
          <w:rtl/>
          <w:lang w:bidi="ar-TN"/>
        </w:rPr>
      </w:pPr>
      <w:r>
        <w:rPr>
          <w:rFonts w:ascii="Arial" w:hAnsi="Arial" w:cs="Arial" w:hint="cs"/>
          <w:b/>
          <w:bCs/>
          <w:sz w:val="24"/>
          <w:szCs w:val="24"/>
          <w:rtl/>
          <w:lang w:bidi="ar-TN"/>
        </w:rPr>
        <w:t>ثانيا:</w:t>
      </w:r>
      <w:r>
        <w:rPr>
          <w:rFonts w:ascii="Arial" w:hAnsi="Arial" w:cs="Arial" w:hint="cs"/>
          <w:rtl/>
          <w:lang w:bidi="ar-TN"/>
        </w:rPr>
        <w:t xml:space="preserve"> تتكفل الوزارة </w:t>
      </w:r>
      <w:r>
        <w:rPr>
          <w:rFonts w:ascii="Arial" w:hAnsi="Arial" w:cs="Arial" w:hint="cs"/>
          <w:rtl/>
          <w:lang w:bidi="ar-TN"/>
        </w:rPr>
        <w:t>المكلفة بالتنمية والتعاون الدولي</w:t>
      </w:r>
      <w:r>
        <w:rPr>
          <w:rFonts w:ascii="Arial" w:hAnsi="Arial" w:cs="Arial" w:hint="cs"/>
          <w:rtl/>
          <w:lang w:bidi="ar-TN"/>
        </w:rPr>
        <w:t xml:space="preserve"> بدراسة هذه الطلبات والتثبت من جدوى المشاريع المقترحة ومدى مطابقتها للأولويات المرسومة في المخطط وتقديرات ميزانية الدولة، ومن ثم تقديم الطلبات للمولين الأجانب باعتبارها الجهة المسؤولة عن تعبئة </w:t>
      </w:r>
      <w:r w:rsidRPr="000667C0">
        <w:rPr>
          <w:rFonts w:ascii="Arial" w:hAnsi="Arial" w:cs="Arial" w:hint="cs"/>
          <w:rtl/>
          <w:lang w:bidi="ar-TN"/>
        </w:rPr>
        <w:t>الموارد المالية الخارجية.</w:t>
      </w:r>
    </w:p>
    <w:p w14:paraId="7F542B9B" w14:textId="2D45F9F4" w:rsidR="008F503B" w:rsidRPr="000667C0" w:rsidRDefault="008F503B" w:rsidP="008F503B">
      <w:pPr>
        <w:bidi/>
        <w:spacing w:before="100" w:beforeAutospacing="1" w:after="0" w:line="240" w:lineRule="auto"/>
        <w:ind w:left="283"/>
        <w:jc w:val="both"/>
        <w:rPr>
          <w:rFonts w:ascii="Arial" w:hAnsi="Arial" w:cs="Arial" w:hint="cs"/>
          <w:rtl/>
          <w:lang w:bidi="ar-TN"/>
        </w:rPr>
      </w:pPr>
      <w:proofErr w:type="gramStart"/>
      <w:r w:rsidRPr="000667C0">
        <w:rPr>
          <w:rFonts w:ascii="Arial" w:hAnsi="Arial" w:cs="Arial" w:hint="cs"/>
          <w:rtl/>
          <w:lang w:bidi="ar-TN"/>
        </w:rPr>
        <w:t>ومن</w:t>
      </w:r>
      <w:proofErr w:type="gramEnd"/>
      <w:r w:rsidRPr="000667C0">
        <w:rPr>
          <w:rFonts w:ascii="Arial" w:hAnsi="Arial" w:cs="Arial" w:hint="cs"/>
          <w:rtl/>
          <w:lang w:bidi="ar-TN"/>
        </w:rPr>
        <w:t xml:space="preserve"> المفيد في هذا المجال التأكيد على أن الوزارة </w:t>
      </w:r>
      <w:r w:rsidRPr="000667C0">
        <w:rPr>
          <w:rFonts w:ascii="Arial" w:hAnsi="Arial" w:cs="Arial" w:hint="cs"/>
          <w:rtl/>
          <w:lang w:bidi="ar-TN"/>
        </w:rPr>
        <w:t>المكلفة بالتنمية والتعاون الدولي</w:t>
      </w:r>
      <w:r w:rsidRPr="000667C0">
        <w:rPr>
          <w:rFonts w:ascii="Arial" w:hAnsi="Arial" w:cs="Arial" w:hint="cs"/>
          <w:rtl/>
          <w:lang w:bidi="ar-TN"/>
        </w:rPr>
        <w:t xml:space="preserve"> هي المخاطب المباشر والمختص للممولين الأجانب وفقا للأمر عدد 1721 لسنة 1992 </w:t>
      </w:r>
      <w:r w:rsidR="000667C0" w:rsidRPr="000667C0">
        <w:rPr>
          <w:rFonts w:ascii="Arial" w:hAnsi="Arial" w:cs="Arial" w:hint="cs"/>
          <w:rtl/>
          <w:lang w:bidi="ar-TN"/>
        </w:rPr>
        <w:t>والأمر عدد 3011 لسنة 2002 المؤرخ في 11 نوفمبر 2002.</w:t>
      </w:r>
    </w:p>
    <w:p w14:paraId="6BA4D32B" w14:textId="754EE612" w:rsidR="000667C0" w:rsidRPr="000667C0" w:rsidRDefault="000667C0" w:rsidP="000667C0">
      <w:pPr>
        <w:bidi/>
        <w:spacing w:before="100" w:beforeAutospacing="1" w:after="0" w:line="240" w:lineRule="auto"/>
        <w:ind w:left="283"/>
        <w:jc w:val="both"/>
        <w:rPr>
          <w:rFonts w:ascii="Arial" w:hAnsi="Arial" w:cs="Arial" w:hint="cs"/>
          <w:rtl/>
          <w:lang w:bidi="ar-TN"/>
        </w:rPr>
      </w:pPr>
      <w:r w:rsidRPr="000667C0">
        <w:rPr>
          <w:rFonts w:ascii="Arial" w:hAnsi="Arial" w:cs="Arial" w:hint="cs"/>
          <w:rtl/>
          <w:lang w:bidi="ar-TN"/>
        </w:rPr>
        <w:t>ونظرا لأهمية الموضوع، الرجاء من السيدات والسادة الوزراء وكتاب الدولة إيلاءه الأهمية اللازمة ودعوة منظوريهم إلى التقيد بهذه القواعد والإجراءات بما يضفي النجاعة اللازمة على مستوى تعبئة الموارد الخارجية ويمكن من الحفاظ على علاقاتنا المتميزة مع مختلف شركائنا بالخارج.</w:t>
      </w:r>
    </w:p>
    <w:p w14:paraId="0CEB125B" w14:textId="7D937F72" w:rsidR="008F503B" w:rsidRPr="008F503B" w:rsidRDefault="008F503B" w:rsidP="008F503B">
      <w:pPr>
        <w:bidi/>
        <w:spacing w:before="100" w:beforeAutospacing="1" w:after="0" w:line="240" w:lineRule="auto"/>
        <w:ind w:left="283"/>
        <w:jc w:val="both"/>
        <w:rPr>
          <w:rFonts w:ascii="Arial" w:hAnsi="Arial" w:cs="Arial" w:hint="cs"/>
          <w:sz w:val="20"/>
          <w:szCs w:val="20"/>
          <w:rtl/>
          <w:lang w:bidi="ar-TN"/>
        </w:rPr>
      </w:pPr>
    </w:p>
    <w:p w14:paraId="0961EDC3" w14:textId="77777777" w:rsidR="008F503B" w:rsidRPr="008F503B" w:rsidRDefault="008F503B" w:rsidP="008F503B">
      <w:pPr>
        <w:bidi/>
        <w:spacing w:after="0" w:line="240" w:lineRule="auto"/>
        <w:ind w:left="283"/>
        <w:jc w:val="both"/>
        <w:rPr>
          <w:rFonts w:ascii="Arial" w:hAnsi="Arial" w:cs="Arial"/>
          <w:lang w:bidi="ar-TN"/>
        </w:rPr>
      </w:pPr>
    </w:p>
    <w:sectPr w:rsidR="008F503B" w:rsidRPr="008F503B"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296BA" w14:textId="77777777" w:rsidR="00BC5014" w:rsidRDefault="00BC5014" w:rsidP="008F3F2D">
      <w:r>
        <w:separator/>
      </w:r>
    </w:p>
  </w:endnote>
  <w:endnote w:type="continuationSeparator" w:id="0">
    <w:p w14:paraId="1CAACE40" w14:textId="77777777" w:rsidR="00BC5014" w:rsidRDefault="00BC501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36D84" w14:textId="77777777" w:rsidR="00BC5014" w:rsidRDefault="00BC5014" w:rsidP="008F3F2D">
      <w:r>
        <w:separator/>
      </w:r>
    </w:p>
  </w:footnote>
  <w:footnote w:type="continuationSeparator" w:id="0">
    <w:p w14:paraId="1EED113B" w14:textId="77777777" w:rsidR="00BC5014" w:rsidRDefault="00BC501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AF4"/>
    <w:multiLevelType w:val="hybridMultilevel"/>
    <w:tmpl w:val="37D2F88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nsid w:val="02343376"/>
    <w:multiLevelType w:val="hybridMultilevel"/>
    <w:tmpl w:val="AE36B980"/>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561616"/>
    <w:multiLevelType w:val="hybridMultilevel"/>
    <w:tmpl w:val="54DCF99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0C22195B"/>
    <w:multiLevelType w:val="hybridMultilevel"/>
    <w:tmpl w:val="BF3A9DBA"/>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0E5037DD"/>
    <w:multiLevelType w:val="hybridMultilevel"/>
    <w:tmpl w:val="C2D4F540"/>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18D42498"/>
    <w:multiLevelType w:val="hybridMultilevel"/>
    <w:tmpl w:val="706EB9F4"/>
    <w:lvl w:ilvl="0" w:tplc="5C6AD616">
      <w:start w:val="1"/>
      <w:numFmt w:val="arabicAbjad"/>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
    <w:nsid w:val="1A212825"/>
    <w:multiLevelType w:val="hybridMultilevel"/>
    <w:tmpl w:val="54523D28"/>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EA55A77"/>
    <w:multiLevelType w:val="hybridMultilevel"/>
    <w:tmpl w:val="835028A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260E18EE"/>
    <w:multiLevelType w:val="hybridMultilevel"/>
    <w:tmpl w:val="3D64A352"/>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2E61C4"/>
    <w:multiLevelType w:val="hybridMultilevel"/>
    <w:tmpl w:val="ECF4E78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AA702EA"/>
    <w:multiLevelType w:val="hybridMultilevel"/>
    <w:tmpl w:val="18968C92"/>
    <w:lvl w:ilvl="0" w:tplc="040C000F">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66338A"/>
    <w:multiLevelType w:val="hybridMultilevel"/>
    <w:tmpl w:val="D6BA223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B8262C1"/>
    <w:multiLevelType w:val="hybridMultilevel"/>
    <w:tmpl w:val="A3986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B84013"/>
    <w:multiLevelType w:val="hybridMultilevel"/>
    <w:tmpl w:val="14EAB5DC"/>
    <w:lvl w:ilvl="0" w:tplc="5C6AD61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nsid w:val="324D76A0"/>
    <w:multiLevelType w:val="hybridMultilevel"/>
    <w:tmpl w:val="58AE8FFA"/>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33916CAB"/>
    <w:multiLevelType w:val="hybridMultilevel"/>
    <w:tmpl w:val="560EEC8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4433565"/>
    <w:multiLevelType w:val="hybridMultilevel"/>
    <w:tmpl w:val="32C4E1FA"/>
    <w:lvl w:ilvl="0" w:tplc="5C6AD616">
      <w:start w:val="1"/>
      <w:numFmt w:val="arabicAbjad"/>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362E4D11"/>
    <w:multiLevelType w:val="hybridMultilevel"/>
    <w:tmpl w:val="97307136"/>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36981D6D"/>
    <w:multiLevelType w:val="hybridMultilevel"/>
    <w:tmpl w:val="2BF81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656CD5"/>
    <w:multiLevelType w:val="hybridMultilevel"/>
    <w:tmpl w:val="CE926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FD22EA5"/>
    <w:multiLevelType w:val="hybridMultilevel"/>
    <w:tmpl w:val="567A1F6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41E70501"/>
    <w:multiLevelType w:val="hybridMultilevel"/>
    <w:tmpl w:val="3E663B1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42BE427D"/>
    <w:multiLevelType w:val="hybridMultilevel"/>
    <w:tmpl w:val="FD9862D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438A42BB"/>
    <w:multiLevelType w:val="hybridMultilevel"/>
    <w:tmpl w:val="031EEE94"/>
    <w:lvl w:ilvl="0" w:tplc="31305FBE">
      <w:start w:val="1"/>
      <w:numFmt w:val="arabicAbjad"/>
      <w:lvlText w:val="%1."/>
      <w:lvlJc w:val="left"/>
      <w:pPr>
        <w:ind w:left="1004" w:hanging="360"/>
      </w:pPr>
      <w:rPr>
        <w:rFonts w:hint="default"/>
        <w:lang w:bidi="ar-TN"/>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nsid w:val="475A17A3"/>
    <w:multiLevelType w:val="hybridMultilevel"/>
    <w:tmpl w:val="05D042F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nsid w:val="476B1AB9"/>
    <w:multiLevelType w:val="hybridMultilevel"/>
    <w:tmpl w:val="BA9C87EE"/>
    <w:lvl w:ilvl="0" w:tplc="5C6AD616">
      <w:start w:val="1"/>
      <w:numFmt w:val="arabicAbjad"/>
      <w:lvlText w:val="%1."/>
      <w:lvlJc w:val="left"/>
      <w:pPr>
        <w:ind w:left="2007" w:hanging="360"/>
      </w:pPr>
      <w:rPr>
        <w:rFonts w:hint="default"/>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30">
    <w:nsid w:val="48B6386C"/>
    <w:multiLevelType w:val="hybridMultilevel"/>
    <w:tmpl w:val="C60EADCA"/>
    <w:lvl w:ilvl="0" w:tplc="D8DC3080">
      <w:numFmt w:val="bullet"/>
      <w:lvlText w:val="̶"/>
      <w:lvlJc w:val="left"/>
      <w:pPr>
        <w:ind w:left="1287" w:hanging="360"/>
      </w:pPr>
      <w:rPr>
        <w:rFonts w:ascii="Arial" w:eastAsiaTheme="minorEastAsia"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nsid w:val="4D933577"/>
    <w:multiLevelType w:val="hybridMultilevel"/>
    <w:tmpl w:val="8F8ED62A"/>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3C91243"/>
    <w:multiLevelType w:val="hybridMultilevel"/>
    <w:tmpl w:val="B1383B5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B843162"/>
    <w:multiLevelType w:val="hybridMultilevel"/>
    <w:tmpl w:val="665898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5D7E76B5"/>
    <w:multiLevelType w:val="hybridMultilevel"/>
    <w:tmpl w:val="8826A14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BE70AC"/>
    <w:multiLevelType w:val="hybridMultilevel"/>
    <w:tmpl w:val="3086147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7147E97"/>
    <w:multiLevelType w:val="hybridMultilevel"/>
    <w:tmpl w:val="610EDAB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AE86ED3"/>
    <w:multiLevelType w:val="hybridMultilevel"/>
    <w:tmpl w:val="CB92445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10"/>
  </w:num>
  <w:num w:numId="3">
    <w:abstractNumId w:val="38"/>
  </w:num>
  <w:num w:numId="4">
    <w:abstractNumId w:val="13"/>
  </w:num>
  <w:num w:numId="5">
    <w:abstractNumId w:val="37"/>
  </w:num>
  <w:num w:numId="6">
    <w:abstractNumId w:val="40"/>
  </w:num>
  <w:num w:numId="7">
    <w:abstractNumId w:val="33"/>
  </w:num>
  <w:num w:numId="8">
    <w:abstractNumId w:val="14"/>
  </w:num>
  <w:num w:numId="9">
    <w:abstractNumId w:val="30"/>
  </w:num>
  <w:num w:numId="10">
    <w:abstractNumId w:val="34"/>
  </w:num>
  <w:num w:numId="11">
    <w:abstractNumId w:val="41"/>
  </w:num>
  <w:num w:numId="12">
    <w:abstractNumId w:val="15"/>
  </w:num>
  <w:num w:numId="13">
    <w:abstractNumId w:val="27"/>
  </w:num>
  <w:num w:numId="14">
    <w:abstractNumId w:val="25"/>
  </w:num>
  <w:num w:numId="15">
    <w:abstractNumId w:val="19"/>
  </w:num>
  <w:num w:numId="16">
    <w:abstractNumId w:val="3"/>
  </w:num>
  <w:num w:numId="17">
    <w:abstractNumId w:val="5"/>
  </w:num>
  <w:num w:numId="18">
    <w:abstractNumId w:val="32"/>
  </w:num>
  <w:num w:numId="19">
    <w:abstractNumId w:val="4"/>
  </w:num>
  <w:num w:numId="20">
    <w:abstractNumId w:val="18"/>
  </w:num>
  <w:num w:numId="21">
    <w:abstractNumId w:val="21"/>
  </w:num>
  <w:num w:numId="22">
    <w:abstractNumId w:val="12"/>
  </w:num>
  <w:num w:numId="23">
    <w:abstractNumId w:val="36"/>
  </w:num>
  <w:num w:numId="24">
    <w:abstractNumId w:val="20"/>
  </w:num>
  <w:num w:numId="25">
    <w:abstractNumId w:val="8"/>
  </w:num>
  <w:num w:numId="26">
    <w:abstractNumId w:val="26"/>
  </w:num>
  <w:num w:numId="27">
    <w:abstractNumId w:val="23"/>
  </w:num>
  <w:num w:numId="28">
    <w:abstractNumId w:val="16"/>
  </w:num>
  <w:num w:numId="29">
    <w:abstractNumId w:val="1"/>
  </w:num>
  <w:num w:numId="30">
    <w:abstractNumId w:val="28"/>
  </w:num>
  <w:num w:numId="31">
    <w:abstractNumId w:val="31"/>
  </w:num>
  <w:num w:numId="32">
    <w:abstractNumId w:val="11"/>
  </w:num>
  <w:num w:numId="33">
    <w:abstractNumId w:val="7"/>
  </w:num>
  <w:num w:numId="34">
    <w:abstractNumId w:val="9"/>
  </w:num>
  <w:num w:numId="35">
    <w:abstractNumId w:val="24"/>
  </w:num>
  <w:num w:numId="36">
    <w:abstractNumId w:val="35"/>
  </w:num>
  <w:num w:numId="37">
    <w:abstractNumId w:val="6"/>
  </w:num>
  <w:num w:numId="38">
    <w:abstractNumId w:val="17"/>
  </w:num>
  <w:num w:numId="39">
    <w:abstractNumId w:val="29"/>
  </w:num>
  <w:num w:numId="40">
    <w:abstractNumId w:val="39"/>
  </w:num>
  <w:num w:numId="41">
    <w:abstractNumId w:val="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67C0"/>
    <w:rsid w:val="0007757C"/>
    <w:rsid w:val="000A293F"/>
    <w:rsid w:val="000B0D20"/>
    <w:rsid w:val="000E68CA"/>
    <w:rsid w:val="00117606"/>
    <w:rsid w:val="00164E1F"/>
    <w:rsid w:val="001A7EEB"/>
    <w:rsid w:val="001E5DD5"/>
    <w:rsid w:val="0024012A"/>
    <w:rsid w:val="00275977"/>
    <w:rsid w:val="002B19EE"/>
    <w:rsid w:val="002B237F"/>
    <w:rsid w:val="003460A9"/>
    <w:rsid w:val="00354137"/>
    <w:rsid w:val="0039511C"/>
    <w:rsid w:val="003A76D7"/>
    <w:rsid w:val="003B6CD4"/>
    <w:rsid w:val="00472F2D"/>
    <w:rsid w:val="00474146"/>
    <w:rsid w:val="004775F2"/>
    <w:rsid w:val="004B5F1C"/>
    <w:rsid w:val="004C7CD5"/>
    <w:rsid w:val="005F7BF4"/>
    <w:rsid w:val="00602355"/>
    <w:rsid w:val="00607AD1"/>
    <w:rsid w:val="0063254A"/>
    <w:rsid w:val="00684129"/>
    <w:rsid w:val="006D4FA0"/>
    <w:rsid w:val="00707680"/>
    <w:rsid w:val="007244D3"/>
    <w:rsid w:val="00726991"/>
    <w:rsid w:val="00744C8E"/>
    <w:rsid w:val="0075404E"/>
    <w:rsid w:val="0076083F"/>
    <w:rsid w:val="00776204"/>
    <w:rsid w:val="007C6F68"/>
    <w:rsid w:val="00827514"/>
    <w:rsid w:val="0084120C"/>
    <w:rsid w:val="00880706"/>
    <w:rsid w:val="008C7729"/>
    <w:rsid w:val="008F3F2D"/>
    <w:rsid w:val="008F503B"/>
    <w:rsid w:val="008F6575"/>
    <w:rsid w:val="00957F0E"/>
    <w:rsid w:val="009635AA"/>
    <w:rsid w:val="0097472C"/>
    <w:rsid w:val="00990DE7"/>
    <w:rsid w:val="00A00644"/>
    <w:rsid w:val="00A04F09"/>
    <w:rsid w:val="00A90F21"/>
    <w:rsid w:val="00AA145F"/>
    <w:rsid w:val="00AD2268"/>
    <w:rsid w:val="00B05438"/>
    <w:rsid w:val="00B363C3"/>
    <w:rsid w:val="00B617F1"/>
    <w:rsid w:val="00B82034"/>
    <w:rsid w:val="00BC5014"/>
    <w:rsid w:val="00C1635D"/>
    <w:rsid w:val="00C4381D"/>
    <w:rsid w:val="00C513AB"/>
    <w:rsid w:val="00C600DA"/>
    <w:rsid w:val="00C64266"/>
    <w:rsid w:val="00C64B86"/>
    <w:rsid w:val="00CA1CA2"/>
    <w:rsid w:val="00CC4ADF"/>
    <w:rsid w:val="00D07749"/>
    <w:rsid w:val="00D2697E"/>
    <w:rsid w:val="00D36BBA"/>
    <w:rsid w:val="00D91709"/>
    <w:rsid w:val="00DB391C"/>
    <w:rsid w:val="00DE6A0E"/>
    <w:rsid w:val="00E10A35"/>
    <w:rsid w:val="00E23F5E"/>
    <w:rsid w:val="00E2601B"/>
    <w:rsid w:val="00E26825"/>
    <w:rsid w:val="00E67B95"/>
    <w:rsid w:val="00E746B3"/>
    <w:rsid w:val="00E74F47"/>
    <w:rsid w:val="00E953A2"/>
    <w:rsid w:val="00EA642E"/>
    <w:rsid w:val="00F0474D"/>
    <w:rsid w:val="00F54D83"/>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2015-03-06T09:01:00Z</cp:lastPrinted>
  <dcterms:created xsi:type="dcterms:W3CDTF">2015-03-06T09:01:00Z</dcterms:created>
  <dcterms:modified xsi:type="dcterms:W3CDTF">2015-03-06T09:02:00Z</dcterms:modified>
</cp:coreProperties>
</file>