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B27" w:rsidRDefault="006F4B27" w:rsidP="007C4DF4">
      <w:pPr>
        <w:bidi/>
        <w:spacing w:after="0" w:line="240" w:lineRule="auto"/>
        <w:ind w:left="284"/>
        <w:jc w:val="both"/>
        <w:rPr>
          <w:rFonts w:ascii="Arial" w:eastAsia="MS Mincho" w:hAnsi="Arial"/>
          <w:b/>
          <w:bCs/>
          <w:sz w:val="24"/>
          <w:szCs w:val="24"/>
          <w:rtl/>
          <w:lang w:eastAsia="fr-FR" w:bidi="ar-TN"/>
        </w:rPr>
      </w:pPr>
    </w:p>
    <w:p w:rsidR="00B944AD" w:rsidRDefault="007C4DF4" w:rsidP="006F4B27">
      <w:pPr>
        <w:bidi/>
        <w:spacing w:after="0" w:line="240" w:lineRule="auto"/>
        <w:ind w:left="284"/>
        <w:jc w:val="both"/>
        <w:rPr>
          <w:rFonts w:ascii="Arial" w:eastAsia="MS Mincho" w:hAnsi="Arial"/>
          <w:b/>
          <w:bCs/>
          <w:sz w:val="24"/>
          <w:szCs w:val="24"/>
          <w:rtl/>
          <w:lang w:eastAsia="fr-FR" w:bidi="ar-TN"/>
        </w:rPr>
      </w:pPr>
      <w:r>
        <w:rPr>
          <w:rFonts w:ascii="Arial" w:eastAsia="MS Mincho" w:hAnsi="Arial" w:hint="cs"/>
          <w:b/>
          <w:bCs/>
          <w:sz w:val="24"/>
          <w:szCs w:val="24"/>
          <w:rtl/>
          <w:lang w:eastAsia="fr-FR" w:bidi="ar-TN"/>
        </w:rPr>
        <w:t xml:space="preserve">منشور عدد 4 لسنة 2018 مؤرخ في 22 جانفي 2018 حول المنظومة الوطنية للتصرف الالكتروني في المراسلات </w:t>
      </w:r>
    </w:p>
    <w:p w:rsidR="007C4DF4" w:rsidRDefault="007C4DF4" w:rsidP="007C4DF4">
      <w:pPr>
        <w:bidi/>
        <w:spacing w:after="0" w:line="240" w:lineRule="auto"/>
        <w:ind w:left="284"/>
        <w:jc w:val="both"/>
        <w:rPr>
          <w:rFonts w:ascii="Arial" w:hAnsi="Arial"/>
          <w:rtl/>
          <w:lang w:bidi="ar-TN"/>
        </w:rPr>
      </w:pPr>
    </w:p>
    <w:p w:rsidR="006F4B27" w:rsidRDefault="006F4B27" w:rsidP="006F4B27">
      <w:pPr>
        <w:bidi/>
        <w:spacing w:after="0" w:line="240" w:lineRule="auto"/>
        <w:ind w:left="284"/>
        <w:jc w:val="both"/>
        <w:rPr>
          <w:rFonts w:ascii="Arial" w:hAnsi="Arial"/>
          <w:rtl/>
          <w:lang w:bidi="ar-TN"/>
        </w:rPr>
      </w:pPr>
    </w:p>
    <w:p w:rsidR="007C4DF4" w:rsidRPr="006F4B27" w:rsidRDefault="007C4DF4" w:rsidP="007C4DF4">
      <w:pPr>
        <w:bidi/>
        <w:spacing w:after="0" w:line="240" w:lineRule="auto"/>
        <w:ind w:left="284"/>
        <w:jc w:val="both"/>
        <w:rPr>
          <w:rFonts w:ascii="Arial" w:hAnsi="Arial"/>
          <w:b/>
          <w:bCs/>
          <w:rtl/>
          <w:lang w:bidi="ar-TN"/>
        </w:rPr>
      </w:pPr>
      <w:r w:rsidRPr="006F4B27">
        <w:rPr>
          <w:rFonts w:ascii="Arial" w:hAnsi="Arial" w:hint="cs"/>
          <w:b/>
          <w:bCs/>
          <w:u w:val="single"/>
          <w:rtl/>
          <w:lang w:bidi="ar-TN"/>
        </w:rPr>
        <w:t>المراجع</w:t>
      </w:r>
      <w:r w:rsidRPr="006F4B27">
        <w:rPr>
          <w:rFonts w:ascii="Arial" w:hAnsi="Arial" w:hint="cs"/>
          <w:b/>
          <w:bCs/>
          <w:rtl/>
          <w:lang w:bidi="ar-TN"/>
        </w:rPr>
        <w:t xml:space="preserve">: </w:t>
      </w:r>
    </w:p>
    <w:p w:rsidR="007C4DF4" w:rsidRDefault="007C4DF4" w:rsidP="007C4DF4">
      <w:pPr>
        <w:bidi/>
        <w:spacing w:after="0" w:line="240" w:lineRule="auto"/>
        <w:ind w:left="284"/>
        <w:jc w:val="both"/>
        <w:rPr>
          <w:rFonts w:ascii="Arial" w:hAnsi="Arial"/>
          <w:rtl/>
          <w:lang w:bidi="ar-TN"/>
        </w:rPr>
      </w:pPr>
    </w:p>
    <w:p w:rsidR="007C4DF4" w:rsidRPr="006F4B27" w:rsidRDefault="007C4DF4" w:rsidP="006F4B27">
      <w:pPr>
        <w:pStyle w:val="Paragraphedeliste"/>
        <w:numPr>
          <w:ilvl w:val="0"/>
          <w:numId w:val="6"/>
        </w:numPr>
        <w:bidi/>
        <w:spacing w:before="120" w:after="0" w:line="240" w:lineRule="auto"/>
        <w:ind w:left="927"/>
        <w:jc w:val="both"/>
        <w:rPr>
          <w:rFonts w:ascii="Arial" w:hAnsi="Arial"/>
          <w:rtl/>
          <w:lang w:bidi="ar-TN"/>
        </w:rPr>
      </w:pPr>
      <w:r w:rsidRPr="006F4B27">
        <w:rPr>
          <w:rFonts w:ascii="Arial" w:hAnsi="Arial" w:hint="cs"/>
          <w:rtl/>
          <w:lang w:bidi="ar-TN"/>
        </w:rPr>
        <w:t>القانون عدد 57 لسنة 2000 المؤرخ في 13 جوان 2000 المتعلق بتنقيح واتمام بعض</w:t>
      </w:r>
      <w:r w:rsidR="006F4B27" w:rsidRPr="006F4B27">
        <w:rPr>
          <w:rFonts w:ascii="Arial" w:hAnsi="Arial" w:hint="cs"/>
          <w:rtl/>
          <w:lang w:bidi="ar-TN"/>
        </w:rPr>
        <w:t xml:space="preserve"> </w:t>
      </w:r>
      <w:r w:rsidRPr="006F4B27">
        <w:rPr>
          <w:rFonts w:ascii="Arial" w:hAnsi="Arial" w:hint="cs"/>
          <w:rtl/>
          <w:lang w:bidi="ar-TN"/>
        </w:rPr>
        <w:t>فصول من مجلة الالتزامات والعقود.</w:t>
      </w:r>
    </w:p>
    <w:p w:rsidR="007C4DF4" w:rsidRPr="006F4B27" w:rsidRDefault="007C4DF4" w:rsidP="006F4B27">
      <w:pPr>
        <w:pStyle w:val="Paragraphedeliste"/>
        <w:numPr>
          <w:ilvl w:val="0"/>
          <w:numId w:val="6"/>
        </w:numPr>
        <w:bidi/>
        <w:spacing w:before="120" w:after="0" w:line="240" w:lineRule="auto"/>
        <w:ind w:left="927"/>
        <w:jc w:val="both"/>
        <w:rPr>
          <w:rFonts w:ascii="Arial" w:hAnsi="Arial"/>
          <w:rtl/>
          <w:lang w:bidi="ar-TN"/>
        </w:rPr>
      </w:pPr>
      <w:r w:rsidRPr="006F4B27">
        <w:rPr>
          <w:rFonts w:ascii="Arial" w:hAnsi="Arial" w:hint="cs"/>
          <w:rtl/>
          <w:lang w:bidi="ar-TN"/>
        </w:rPr>
        <w:t xml:space="preserve">القانون عدد 83 لسنة 2000 المؤرخ في 9 أوت 2000 المتعلق </w:t>
      </w:r>
      <w:r w:rsidR="006F4B27" w:rsidRPr="006F4B27">
        <w:rPr>
          <w:rFonts w:ascii="Arial" w:hAnsi="Arial" w:hint="cs"/>
          <w:rtl/>
          <w:lang w:bidi="ar-TN"/>
        </w:rPr>
        <w:t>بالمبادلات والتجارة</w:t>
      </w:r>
      <w:r w:rsidRPr="006F4B27">
        <w:rPr>
          <w:rFonts w:ascii="Arial" w:hAnsi="Arial" w:hint="cs"/>
          <w:rtl/>
          <w:lang w:bidi="ar-TN"/>
        </w:rPr>
        <w:t xml:space="preserve"> الالكترونية.</w:t>
      </w:r>
    </w:p>
    <w:p w:rsidR="00B944AD" w:rsidRPr="006F4B27" w:rsidRDefault="007C4DF4" w:rsidP="006F4B27">
      <w:pPr>
        <w:pStyle w:val="Paragraphedeliste"/>
        <w:numPr>
          <w:ilvl w:val="0"/>
          <w:numId w:val="6"/>
        </w:numPr>
        <w:bidi/>
        <w:spacing w:before="120" w:after="0" w:line="240" w:lineRule="auto"/>
        <w:ind w:left="927"/>
        <w:jc w:val="both"/>
        <w:rPr>
          <w:rFonts w:ascii="Arial" w:hAnsi="Arial"/>
          <w:rtl/>
          <w:lang w:bidi="ar-TN"/>
        </w:rPr>
      </w:pPr>
      <w:r w:rsidRPr="006F4B27">
        <w:rPr>
          <w:rFonts w:ascii="Arial" w:hAnsi="Arial" w:hint="cs"/>
          <w:rtl/>
          <w:lang w:bidi="ar-TN"/>
        </w:rPr>
        <w:t xml:space="preserve">الأمر عدد 1981 لسنة 1988 المؤرخ في 13 ديسمبر 1988 المتعلق بضبط شروط وتراتيب التصرف في الأرشيف الجاري والارشيف الوسيط وفرز </w:t>
      </w:r>
      <w:r w:rsidR="006F4B27" w:rsidRPr="006F4B27">
        <w:rPr>
          <w:rFonts w:ascii="Arial" w:hAnsi="Arial" w:hint="cs"/>
          <w:rtl/>
          <w:lang w:bidi="ar-TN"/>
        </w:rPr>
        <w:t>وإتلاف</w:t>
      </w:r>
      <w:r w:rsidR="00B944AD" w:rsidRPr="006F4B27">
        <w:rPr>
          <w:rFonts w:ascii="Arial" w:hAnsi="Arial" w:hint="cs"/>
          <w:rtl/>
          <w:lang w:bidi="ar-TN"/>
        </w:rPr>
        <w:t xml:space="preserve"> الأرشيف وتحويل الأرشيف والاطلاع على الأرشيف العام.</w:t>
      </w:r>
    </w:p>
    <w:p w:rsidR="00B944AD" w:rsidRPr="006F4B27" w:rsidRDefault="00B944AD" w:rsidP="006F4B27">
      <w:pPr>
        <w:pStyle w:val="Paragraphedeliste"/>
        <w:numPr>
          <w:ilvl w:val="0"/>
          <w:numId w:val="6"/>
        </w:numPr>
        <w:bidi/>
        <w:spacing w:before="120" w:after="0" w:line="240" w:lineRule="auto"/>
        <w:ind w:left="927"/>
        <w:jc w:val="both"/>
        <w:rPr>
          <w:rFonts w:ascii="Arial" w:hAnsi="Arial"/>
          <w:rtl/>
          <w:lang w:bidi="ar-TN"/>
        </w:rPr>
      </w:pPr>
      <w:r w:rsidRPr="006F4B27">
        <w:rPr>
          <w:rFonts w:ascii="Arial" w:hAnsi="Arial" w:hint="cs"/>
          <w:rtl/>
          <w:lang w:bidi="ar-TN"/>
        </w:rPr>
        <w:t xml:space="preserve">الأمر عدد 1451 لسنة 1993 المؤرخ في 5 جويلية 1993 المتعلق بالمسؤولية في مجال التصرف والحفظ بالنسبة </w:t>
      </w:r>
      <w:r w:rsidR="004C52DC" w:rsidRPr="006F4B27">
        <w:rPr>
          <w:rFonts w:ascii="Arial" w:hAnsi="Arial" w:hint="cs"/>
          <w:rtl/>
          <w:lang w:bidi="ar-TN"/>
        </w:rPr>
        <w:t>للوثائق</w:t>
      </w:r>
      <w:r w:rsidRPr="006F4B27">
        <w:rPr>
          <w:rFonts w:ascii="Arial" w:hAnsi="Arial" w:hint="cs"/>
          <w:rtl/>
          <w:lang w:bidi="ar-TN"/>
        </w:rPr>
        <w:t xml:space="preserve"> الإدارية.</w:t>
      </w:r>
    </w:p>
    <w:p w:rsidR="00B944AD" w:rsidRPr="006F4B27" w:rsidRDefault="00B944AD" w:rsidP="006F4B27">
      <w:pPr>
        <w:pStyle w:val="Paragraphedeliste"/>
        <w:numPr>
          <w:ilvl w:val="0"/>
          <w:numId w:val="6"/>
        </w:numPr>
        <w:bidi/>
        <w:spacing w:before="120" w:after="0" w:line="240" w:lineRule="auto"/>
        <w:ind w:left="927"/>
        <w:jc w:val="both"/>
        <w:rPr>
          <w:rFonts w:ascii="Arial" w:hAnsi="Arial"/>
          <w:rtl/>
          <w:lang w:bidi="ar-TN"/>
        </w:rPr>
      </w:pPr>
      <w:r w:rsidRPr="006F4B27">
        <w:rPr>
          <w:rFonts w:ascii="Arial" w:hAnsi="Arial" w:hint="cs"/>
          <w:rtl/>
          <w:lang w:bidi="ar-TN"/>
        </w:rPr>
        <w:t>الأمر عدد 1962 لسنة 1994 المؤرخ في 8 أوت 1994 المتعلق بالمطبوعات الإدارية.</w:t>
      </w:r>
    </w:p>
    <w:p w:rsidR="00B944AD" w:rsidRPr="006F4B27" w:rsidRDefault="00B944AD" w:rsidP="006F4B27">
      <w:pPr>
        <w:pStyle w:val="Paragraphedeliste"/>
        <w:numPr>
          <w:ilvl w:val="0"/>
          <w:numId w:val="6"/>
        </w:numPr>
        <w:bidi/>
        <w:spacing w:before="120" w:after="0" w:line="240" w:lineRule="auto"/>
        <w:ind w:left="927"/>
        <w:jc w:val="both"/>
        <w:rPr>
          <w:rFonts w:ascii="Arial" w:hAnsi="Arial"/>
          <w:rtl/>
          <w:lang w:bidi="ar-TN"/>
        </w:rPr>
      </w:pPr>
      <w:r w:rsidRPr="006F4B27">
        <w:rPr>
          <w:rFonts w:ascii="Arial" w:hAnsi="Arial" w:hint="cs"/>
          <w:rtl/>
          <w:lang w:bidi="ar-TN"/>
        </w:rPr>
        <w:t>الأمر عدد 49 لسنة 1996 المؤرخ في 16 جانفي 1996 المتعلق بضبط محتوى مخططات تأهيل الإدارة وطريقة إعدادها وإنجازها ومتابعتها.</w:t>
      </w:r>
    </w:p>
    <w:p w:rsidR="00B944AD" w:rsidRPr="006F4B27" w:rsidRDefault="00B944AD" w:rsidP="006F4B27">
      <w:pPr>
        <w:pStyle w:val="Paragraphedeliste"/>
        <w:numPr>
          <w:ilvl w:val="0"/>
          <w:numId w:val="6"/>
        </w:numPr>
        <w:bidi/>
        <w:spacing w:before="120" w:after="0" w:line="240" w:lineRule="auto"/>
        <w:ind w:left="927"/>
        <w:jc w:val="both"/>
        <w:rPr>
          <w:rFonts w:ascii="Arial" w:hAnsi="Arial"/>
          <w:rtl/>
          <w:lang w:bidi="ar-TN"/>
        </w:rPr>
      </w:pPr>
      <w:r w:rsidRPr="006F4B27">
        <w:rPr>
          <w:rFonts w:ascii="Arial" w:hAnsi="Arial" w:hint="cs"/>
          <w:rtl/>
          <w:lang w:bidi="ar-TN"/>
        </w:rPr>
        <w:t>الأمر الحكومي عدد 1066 لسنة 2016 المؤرخ في 15 أوت 2016 المتعلق بضبط شروط وإجراءات وإصدار الفواتير الالكترونية وحفظها.</w:t>
      </w:r>
    </w:p>
    <w:p w:rsidR="00B944AD" w:rsidRPr="006F4B27" w:rsidRDefault="00B944AD" w:rsidP="006F4B27">
      <w:pPr>
        <w:pStyle w:val="Paragraphedeliste"/>
        <w:numPr>
          <w:ilvl w:val="0"/>
          <w:numId w:val="6"/>
        </w:numPr>
        <w:bidi/>
        <w:spacing w:before="120" w:after="0" w:line="240" w:lineRule="auto"/>
        <w:ind w:left="927"/>
        <w:jc w:val="both"/>
        <w:rPr>
          <w:rFonts w:ascii="Arial" w:hAnsi="Arial"/>
          <w:rtl/>
          <w:lang w:bidi="ar-TN"/>
        </w:rPr>
      </w:pPr>
      <w:r w:rsidRPr="006F4B27">
        <w:rPr>
          <w:rFonts w:ascii="Arial" w:hAnsi="Arial" w:hint="cs"/>
          <w:rtl/>
          <w:lang w:bidi="ar-TN"/>
        </w:rPr>
        <w:t>قرار الوزير الأول المؤرخ في 29 جوان 1996 المتعلق بضبط مخطط التأهيل المركزي لتعصير الإدارة.</w:t>
      </w:r>
    </w:p>
    <w:p w:rsidR="00B944AD" w:rsidRPr="006F4B27" w:rsidRDefault="00B944AD" w:rsidP="006F4B27">
      <w:pPr>
        <w:pStyle w:val="Paragraphedeliste"/>
        <w:numPr>
          <w:ilvl w:val="0"/>
          <w:numId w:val="6"/>
        </w:numPr>
        <w:bidi/>
        <w:spacing w:before="120" w:after="0" w:line="240" w:lineRule="auto"/>
        <w:ind w:left="927"/>
        <w:jc w:val="both"/>
        <w:rPr>
          <w:rFonts w:ascii="Arial" w:hAnsi="Arial"/>
          <w:rtl/>
          <w:lang w:bidi="ar-TN"/>
        </w:rPr>
      </w:pPr>
      <w:r w:rsidRPr="006F4B27">
        <w:rPr>
          <w:rFonts w:ascii="Arial" w:hAnsi="Arial" w:hint="cs"/>
          <w:rtl/>
          <w:lang w:bidi="ar-TN"/>
        </w:rPr>
        <w:t xml:space="preserve">قرار الوزير الأول المؤرخ في 29 ديسمبر 2001 </w:t>
      </w:r>
      <w:r w:rsidR="006F4B27" w:rsidRPr="006F4B27">
        <w:rPr>
          <w:rFonts w:ascii="Arial" w:hAnsi="Arial" w:hint="cs"/>
          <w:rtl/>
          <w:lang w:bidi="ar-TN"/>
        </w:rPr>
        <w:t>المتعلق</w:t>
      </w:r>
      <w:r w:rsidRPr="006F4B27">
        <w:rPr>
          <w:rFonts w:ascii="Arial" w:hAnsi="Arial" w:hint="cs"/>
          <w:rtl/>
          <w:lang w:bidi="ar-TN"/>
        </w:rPr>
        <w:t xml:space="preserve"> بالمصادقة على نظام تصنيف الوثائق المشتركة بين الوزارات والمؤسسات العمومية.</w:t>
      </w:r>
    </w:p>
    <w:p w:rsidR="00B944AD" w:rsidRDefault="00B944AD" w:rsidP="00B944AD">
      <w:pPr>
        <w:bidi/>
        <w:spacing w:after="0" w:line="240" w:lineRule="auto"/>
        <w:ind w:left="284"/>
        <w:jc w:val="both"/>
        <w:rPr>
          <w:rFonts w:ascii="Arial" w:hAnsi="Arial"/>
          <w:rtl/>
          <w:lang w:bidi="ar-TN"/>
        </w:rPr>
      </w:pPr>
    </w:p>
    <w:p w:rsidR="00B944AD" w:rsidRPr="006F4B27" w:rsidRDefault="00B944AD" w:rsidP="00B944AD">
      <w:pPr>
        <w:bidi/>
        <w:spacing w:after="0" w:line="240" w:lineRule="auto"/>
        <w:ind w:left="284"/>
        <w:jc w:val="both"/>
        <w:rPr>
          <w:rFonts w:ascii="Arial" w:hAnsi="Arial"/>
          <w:b/>
          <w:bCs/>
          <w:rtl/>
          <w:lang w:bidi="ar-TN"/>
        </w:rPr>
      </w:pPr>
      <w:r w:rsidRPr="006F4B27">
        <w:rPr>
          <w:rFonts w:ascii="Arial" w:hAnsi="Arial" w:hint="cs"/>
          <w:b/>
          <w:bCs/>
          <w:u w:val="single"/>
          <w:rtl/>
          <w:lang w:bidi="ar-TN"/>
        </w:rPr>
        <w:t>المصاحيب</w:t>
      </w:r>
      <w:r w:rsidRPr="006F4B27">
        <w:rPr>
          <w:rFonts w:ascii="Arial" w:hAnsi="Arial" w:hint="cs"/>
          <w:b/>
          <w:bCs/>
          <w:rtl/>
          <w:lang w:bidi="ar-TN"/>
        </w:rPr>
        <w:t>: ملاحق (7)</w:t>
      </w:r>
      <w:r w:rsidR="009D7616">
        <w:rPr>
          <w:rStyle w:val="Appelnotedebasdep"/>
          <w:rFonts w:ascii="Arial" w:hAnsi="Arial"/>
          <w:b/>
          <w:bCs/>
          <w:rtl/>
          <w:lang w:bidi="ar-TN"/>
        </w:rPr>
        <w:footnoteReference w:id="1"/>
      </w:r>
      <w:r w:rsidRPr="006F4B27">
        <w:rPr>
          <w:rFonts w:ascii="Arial" w:hAnsi="Arial" w:hint="cs"/>
          <w:b/>
          <w:bCs/>
          <w:rtl/>
          <w:lang w:bidi="ar-TN"/>
        </w:rPr>
        <w:t xml:space="preserve"> </w:t>
      </w:r>
    </w:p>
    <w:p w:rsidR="00B944AD" w:rsidRDefault="00B944AD" w:rsidP="00B944AD">
      <w:pPr>
        <w:bidi/>
        <w:spacing w:after="0" w:line="240" w:lineRule="auto"/>
        <w:ind w:left="284"/>
        <w:jc w:val="both"/>
        <w:rPr>
          <w:rFonts w:ascii="Arial" w:hAnsi="Arial"/>
          <w:rtl/>
          <w:lang w:bidi="ar-TN"/>
        </w:rPr>
      </w:pPr>
    </w:p>
    <w:p w:rsidR="00B944AD" w:rsidRDefault="00B944AD" w:rsidP="00B944AD">
      <w:pPr>
        <w:bidi/>
        <w:spacing w:after="0" w:line="240" w:lineRule="auto"/>
        <w:ind w:left="284"/>
        <w:jc w:val="both"/>
        <w:rPr>
          <w:rFonts w:ascii="Arial" w:hAnsi="Arial"/>
          <w:rtl/>
          <w:lang w:bidi="ar-TN"/>
        </w:rPr>
      </w:pPr>
      <w:r>
        <w:rPr>
          <w:rFonts w:ascii="Arial" w:hAnsi="Arial" w:hint="cs"/>
          <w:rtl/>
          <w:lang w:bidi="ar-TN"/>
        </w:rPr>
        <w:t xml:space="preserve">وبعد، </w:t>
      </w:r>
    </w:p>
    <w:p w:rsidR="00B944AD" w:rsidRDefault="00B944AD" w:rsidP="006F4B27">
      <w:pPr>
        <w:bidi/>
        <w:spacing w:before="120" w:after="0" w:line="240" w:lineRule="auto"/>
        <w:ind w:left="284"/>
        <w:jc w:val="both"/>
        <w:rPr>
          <w:rFonts w:ascii="Arial" w:hAnsi="Arial"/>
          <w:rtl/>
          <w:lang w:bidi="ar-TN"/>
        </w:rPr>
      </w:pPr>
      <w:r>
        <w:rPr>
          <w:rFonts w:ascii="Arial" w:hAnsi="Arial" w:hint="cs"/>
          <w:rtl/>
          <w:lang w:bidi="ar-TN"/>
        </w:rPr>
        <w:t xml:space="preserve">في إطار تنفيذ المخطط الوطني الاستراتيجي "تونس الرقمية 2020" وتحديدا المحور الاستراتيجي "الحكومة الالكترونية" ثم تركيز المنظومة الوطنية للتصرف الالكتروني في المراسلات "عليسة" والمشار إليها فيما يلي بـ "المنظومة" وذلك على مستوى ستة (6) وزارات نموذجية في مرحلة أولى، على أن يتم تعميمها في مرحلة ثانية على بقية </w:t>
      </w:r>
      <w:r w:rsidR="00C51231">
        <w:rPr>
          <w:rFonts w:ascii="Arial" w:hAnsi="Arial" w:hint="cs"/>
          <w:rtl/>
          <w:lang w:bidi="ar-TN"/>
        </w:rPr>
        <w:t>الوزرات</w:t>
      </w:r>
      <w:r>
        <w:rPr>
          <w:rFonts w:ascii="Arial" w:hAnsi="Arial" w:hint="cs"/>
          <w:rtl/>
          <w:lang w:bidi="ar-TN"/>
        </w:rPr>
        <w:t xml:space="preserve"> والإدارات الجهوية والهياكل العمومية وذلك بداية من شهر مارس 2018.</w:t>
      </w:r>
    </w:p>
    <w:p w:rsidR="00B944AD" w:rsidRDefault="00B944AD" w:rsidP="00B944AD">
      <w:pPr>
        <w:bidi/>
        <w:spacing w:after="0" w:line="240" w:lineRule="auto"/>
        <w:ind w:left="284"/>
        <w:jc w:val="both"/>
        <w:rPr>
          <w:rFonts w:ascii="Arial" w:hAnsi="Arial"/>
          <w:rtl/>
          <w:lang w:bidi="ar-TN"/>
        </w:rPr>
      </w:pPr>
    </w:p>
    <w:p w:rsidR="00B944AD" w:rsidRDefault="00B944AD" w:rsidP="00B944AD">
      <w:pPr>
        <w:bidi/>
        <w:spacing w:after="0" w:line="240" w:lineRule="auto"/>
        <w:ind w:left="284"/>
        <w:jc w:val="both"/>
        <w:rPr>
          <w:rFonts w:ascii="Arial" w:hAnsi="Arial"/>
          <w:rtl/>
          <w:lang w:bidi="ar-TN"/>
        </w:rPr>
      </w:pPr>
      <w:r>
        <w:rPr>
          <w:rFonts w:ascii="Arial" w:hAnsi="Arial" w:hint="cs"/>
          <w:rtl/>
          <w:lang w:bidi="ar-TN"/>
        </w:rPr>
        <w:t xml:space="preserve">ويهدف هذا المنشور إلى تحديد الإجراءات التي يتعين </w:t>
      </w:r>
      <w:r w:rsidR="00C51231">
        <w:rPr>
          <w:rFonts w:ascii="Arial" w:hAnsi="Arial" w:hint="cs"/>
          <w:rtl/>
          <w:lang w:bidi="ar-TN"/>
        </w:rPr>
        <w:t>احترامها</w:t>
      </w:r>
      <w:r>
        <w:rPr>
          <w:rFonts w:ascii="Arial" w:hAnsi="Arial" w:hint="cs"/>
          <w:rtl/>
          <w:lang w:bidi="ar-TN"/>
        </w:rPr>
        <w:t xml:space="preserve"> من قبل الوزارات النموذجية لضمان الاستغلال </w:t>
      </w:r>
      <w:r w:rsidR="00C51231">
        <w:rPr>
          <w:rFonts w:ascii="Arial" w:hAnsi="Arial" w:hint="cs"/>
          <w:rtl/>
          <w:lang w:bidi="ar-TN"/>
        </w:rPr>
        <w:t>الأمثل للمنظومة المذكورة من ناحية أولى ولإضفاء أكثر نجاعة على التصرف في المراسلات بين مختلف الوزارات والهياكل العمومية الأخرى من ناحية ثانية.</w:t>
      </w:r>
    </w:p>
    <w:p w:rsidR="006F4B27" w:rsidRDefault="006F4B27" w:rsidP="00CB7CD8">
      <w:pPr>
        <w:bidi/>
        <w:spacing w:after="0" w:line="240" w:lineRule="auto"/>
        <w:ind w:left="284"/>
        <w:jc w:val="both"/>
        <w:rPr>
          <w:rFonts w:ascii="Arial" w:hAnsi="Arial"/>
          <w:rtl/>
          <w:lang w:bidi="ar-TN"/>
        </w:rPr>
      </w:pPr>
    </w:p>
    <w:p w:rsidR="00C51231" w:rsidRDefault="00C51231" w:rsidP="00CB7CD8">
      <w:pPr>
        <w:bidi/>
        <w:spacing w:after="0" w:line="240" w:lineRule="auto"/>
        <w:ind w:left="284"/>
        <w:jc w:val="both"/>
        <w:rPr>
          <w:rFonts w:ascii="Arial" w:hAnsi="Arial"/>
          <w:rtl/>
          <w:lang w:bidi="ar-TN"/>
        </w:rPr>
      </w:pPr>
      <w:r>
        <w:rPr>
          <w:rFonts w:ascii="Arial" w:hAnsi="Arial" w:hint="cs"/>
          <w:rtl/>
          <w:lang w:bidi="ar-TN"/>
        </w:rPr>
        <w:t>وحيث أن المنظومة تمكن من ضمان التعامل اللامادي بين الهياكل الإدارية بالنسبة لمختلف المراسلات مهما كان شكلها أو وعاؤها أو تاريخها أو مسارها وسواء كانت داخلية أو خارجية أو عن طريق البريد الالكتروني أو الفاكس.</w:t>
      </w:r>
    </w:p>
    <w:p w:rsidR="00C51231" w:rsidRDefault="00C51231" w:rsidP="006F4B27">
      <w:pPr>
        <w:bidi/>
        <w:spacing w:before="120" w:after="0" w:line="240" w:lineRule="auto"/>
        <w:ind w:left="284"/>
        <w:jc w:val="both"/>
        <w:rPr>
          <w:rFonts w:ascii="Arial" w:hAnsi="Arial"/>
          <w:rtl/>
          <w:lang w:bidi="ar-TN"/>
        </w:rPr>
      </w:pPr>
      <w:r>
        <w:rPr>
          <w:rFonts w:ascii="Arial" w:hAnsi="Arial" w:hint="cs"/>
          <w:rtl/>
          <w:lang w:bidi="ar-TN"/>
        </w:rPr>
        <w:t xml:space="preserve">وحيث أن إرساء المنظومة وضمان العمل بها سيمكن من بلوغ الأهداف التالية: </w:t>
      </w:r>
    </w:p>
    <w:p w:rsidR="00C51231" w:rsidRDefault="00C51231" w:rsidP="006F4B27">
      <w:pPr>
        <w:pStyle w:val="Paragraphedeliste"/>
        <w:numPr>
          <w:ilvl w:val="0"/>
          <w:numId w:val="7"/>
        </w:numPr>
        <w:bidi/>
        <w:spacing w:before="120" w:after="0" w:line="240" w:lineRule="auto"/>
        <w:ind w:left="927"/>
        <w:jc w:val="both"/>
        <w:rPr>
          <w:rFonts w:ascii="Arial" w:hAnsi="Arial"/>
          <w:lang w:bidi="ar-TN"/>
        </w:rPr>
      </w:pPr>
      <w:r>
        <w:rPr>
          <w:rFonts w:ascii="Arial" w:hAnsi="Arial" w:hint="cs"/>
          <w:rtl/>
          <w:lang w:bidi="ar-TN"/>
        </w:rPr>
        <w:t xml:space="preserve">توحيد طريقة التصرف في مختف المسارات للمراسلات والوثائق الإدارية، </w:t>
      </w:r>
    </w:p>
    <w:p w:rsidR="00C51231" w:rsidRDefault="00C51231" w:rsidP="006F4B27">
      <w:pPr>
        <w:pStyle w:val="Paragraphedeliste"/>
        <w:numPr>
          <w:ilvl w:val="0"/>
          <w:numId w:val="7"/>
        </w:numPr>
        <w:bidi/>
        <w:spacing w:before="120" w:after="0" w:line="240" w:lineRule="auto"/>
        <w:ind w:left="927"/>
        <w:jc w:val="both"/>
        <w:rPr>
          <w:rFonts w:ascii="Arial" w:hAnsi="Arial"/>
          <w:lang w:bidi="ar-TN"/>
        </w:rPr>
      </w:pPr>
      <w:r>
        <w:rPr>
          <w:rFonts w:ascii="Arial" w:hAnsi="Arial" w:hint="cs"/>
          <w:rtl/>
          <w:lang w:bidi="ar-TN"/>
        </w:rPr>
        <w:t xml:space="preserve">التقليص في آجال التوصل بالملفات بما يضمن نجاعة العمل الإداري، </w:t>
      </w:r>
    </w:p>
    <w:p w:rsidR="001075C3" w:rsidRDefault="001075C3" w:rsidP="006F4B27">
      <w:pPr>
        <w:pStyle w:val="Paragraphedeliste"/>
        <w:numPr>
          <w:ilvl w:val="0"/>
          <w:numId w:val="7"/>
        </w:numPr>
        <w:bidi/>
        <w:spacing w:before="120" w:after="0" w:line="240" w:lineRule="auto"/>
        <w:ind w:left="927"/>
        <w:jc w:val="both"/>
        <w:rPr>
          <w:rFonts w:ascii="Arial" w:hAnsi="Arial"/>
          <w:lang w:bidi="ar-TN"/>
        </w:rPr>
      </w:pPr>
      <w:r>
        <w:rPr>
          <w:rFonts w:ascii="Arial" w:hAnsi="Arial" w:hint="cs"/>
          <w:rtl/>
          <w:lang w:bidi="ar-TN"/>
        </w:rPr>
        <w:t xml:space="preserve">الضغط على الكلفة من خلال التقليص من استعمال الورق، </w:t>
      </w:r>
    </w:p>
    <w:p w:rsidR="001075C3" w:rsidRDefault="001075C3" w:rsidP="006F4B27">
      <w:pPr>
        <w:pStyle w:val="Paragraphedeliste"/>
        <w:numPr>
          <w:ilvl w:val="0"/>
          <w:numId w:val="7"/>
        </w:numPr>
        <w:bidi/>
        <w:spacing w:before="120" w:after="0" w:line="240" w:lineRule="auto"/>
        <w:ind w:left="927"/>
        <w:jc w:val="both"/>
        <w:rPr>
          <w:rFonts w:ascii="Arial" w:hAnsi="Arial"/>
          <w:lang w:bidi="ar-TN"/>
        </w:rPr>
      </w:pPr>
      <w:r>
        <w:rPr>
          <w:rFonts w:ascii="Arial" w:hAnsi="Arial" w:hint="cs"/>
          <w:rtl/>
          <w:lang w:bidi="ar-TN"/>
        </w:rPr>
        <w:t xml:space="preserve">تمكين الهياكل العمومية المتعاملة بالمنظومة من المتابعة الشاملة للوثائق الصادرة منها والوارد عليها، </w:t>
      </w:r>
    </w:p>
    <w:p w:rsidR="001075C3" w:rsidRDefault="001075C3" w:rsidP="006F4B27">
      <w:pPr>
        <w:pStyle w:val="Paragraphedeliste"/>
        <w:numPr>
          <w:ilvl w:val="0"/>
          <w:numId w:val="7"/>
        </w:numPr>
        <w:bidi/>
        <w:spacing w:before="120" w:after="0" w:line="240" w:lineRule="auto"/>
        <w:ind w:left="927"/>
        <w:jc w:val="both"/>
        <w:rPr>
          <w:rFonts w:ascii="Arial" w:hAnsi="Arial"/>
          <w:lang w:bidi="ar-TN"/>
        </w:rPr>
      </w:pPr>
      <w:r>
        <w:rPr>
          <w:rFonts w:ascii="Arial" w:hAnsi="Arial" w:hint="cs"/>
          <w:rtl/>
          <w:lang w:bidi="ar-TN"/>
        </w:rPr>
        <w:t xml:space="preserve">إعداد مسارات لمعالجة المراسلات الإدارية السرية والمستعجلة، </w:t>
      </w:r>
    </w:p>
    <w:p w:rsidR="001075C3" w:rsidRDefault="001075C3" w:rsidP="006F4B27">
      <w:pPr>
        <w:pStyle w:val="Paragraphedeliste"/>
        <w:numPr>
          <w:ilvl w:val="0"/>
          <w:numId w:val="7"/>
        </w:numPr>
        <w:bidi/>
        <w:spacing w:before="120" w:after="0" w:line="240" w:lineRule="auto"/>
        <w:ind w:left="927"/>
        <w:jc w:val="both"/>
        <w:rPr>
          <w:rFonts w:ascii="Arial" w:hAnsi="Arial"/>
          <w:lang w:bidi="ar-TN"/>
        </w:rPr>
      </w:pPr>
      <w:r>
        <w:rPr>
          <w:rFonts w:ascii="Arial" w:hAnsi="Arial" w:hint="cs"/>
          <w:rtl/>
          <w:lang w:bidi="ar-TN"/>
        </w:rPr>
        <w:t>توفير قاعدة بيانات موحدة بالنسبة لكل الأطراف التي تتعامل معها مختلف الوزارات.</w:t>
      </w:r>
    </w:p>
    <w:p w:rsidR="001075C3" w:rsidRDefault="001075C3" w:rsidP="001075C3">
      <w:pPr>
        <w:bidi/>
        <w:spacing w:after="0" w:line="240" w:lineRule="auto"/>
        <w:jc w:val="both"/>
        <w:rPr>
          <w:rFonts w:ascii="Arial" w:hAnsi="Arial"/>
          <w:rtl/>
          <w:lang w:bidi="ar-TN"/>
        </w:rPr>
      </w:pPr>
    </w:p>
    <w:p w:rsidR="001075C3" w:rsidRDefault="001075C3" w:rsidP="006F4B27">
      <w:pPr>
        <w:bidi/>
        <w:spacing w:after="0" w:line="240" w:lineRule="auto"/>
        <w:ind w:left="283"/>
        <w:jc w:val="both"/>
        <w:rPr>
          <w:rFonts w:ascii="Arial" w:hAnsi="Arial"/>
          <w:rtl/>
          <w:lang w:bidi="ar-TN"/>
        </w:rPr>
      </w:pPr>
      <w:r>
        <w:rPr>
          <w:rFonts w:ascii="Arial" w:hAnsi="Arial" w:hint="cs"/>
          <w:rtl/>
          <w:lang w:bidi="ar-TN"/>
        </w:rPr>
        <w:t xml:space="preserve">لذا، فإنه يتعين على جميع الوزارات والإدارات والمصالح الجهوية الراجعة لها بالنظر التقيد بالإجراءات التالية: </w:t>
      </w:r>
    </w:p>
    <w:p w:rsidR="001075C3" w:rsidRDefault="001075C3" w:rsidP="006F4B27">
      <w:pPr>
        <w:bidi/>
        <w:spacing w:after="0" w:line="240" w:lineRule="auto"/>
        <w:ind w:left="283"/>
        <w:jc w:val="both"/>
        <w:rPr>
          <w:rFonts w:ascii="Arial" w:hAnsi="Arial"/>
          <w:rtl/>
          <w:lang w:bidi="ar-TN"/>
        </w:rPr>
      </w:pPr>
    </w:p>
    <w:p w:rsidR="001075C3" w:rsidRPr="006F4B27" w:rsidRDefault="001075C3" w:rsidP="006F4B27">
      <w:pPr>
        <w:bidi/>
        <w:spacing w:after="0" w:line="240" w:lineRule="auto"/>
        <w:ind w:left="283"/>
        <w:jc w:val="both"/>
        <w:rPr>
          <w:rFonts w:ascii="Arial" w:hAnsi="Arial"/>
          <w:b/>
          <w:bCs/>
          <w:u w:val="single"/>
          <w:rtl/>
          <w:lang w:bidi="ar-TN"/>
        </w:rPr>
      </w:pPr>
      <w:r w:rsidRPr="006F4B27">
        <w:rPr>
          <w:rFonts w:ascii="Arial" w:hAnsi="Arial" w:hint="cs"/>
          <w:b/>
          <w:bCs/>
          <w:u w:val="single"/>
          <w:rtl/>
          <w:lang w:bidi="ar-TN"/>
        </w:rPr>
        <w:t xml:space="preserve">أولا: بالنسبة إلى الوزارات النموذجية (قائمة </w:t>
      </w:r>
      <w:r w:rsidR="006F4B27" w:rsidRPr="006F4B27">
        <w:rPr>
          <w:rFonts w:ascii="Arial" w:hAnsi="Arial" w:hint="cs"/>
          <w:b/>
          <w:bCs/>
          <w:u w:val="single"/>
          <w:rtl/>
          <w:lang w:bidi="ar-TN"/>
        </w:rPr>
        <w:t>الوزرات</w:t>
      </w:r>
      <w:r w:rsidRPr="006F4B27">
        <w:rPr>
          <w:rFonts w:ascii="Arial" w:hAnsi="Arial" w:hint="cs"/>
          <w:b/>
          <w:bCs/>
          <w:u w:val="single"/>
          <w:rtl/>
          <w:lang w:bidi="ar-TN"/>
        </w:rPr>
        <w:t xml:space="preserve"> النموذجية مدرجة </w:t>
      </w:r>
      <w:hyperlink r:id="rId8" w:history="1">
        <w:r w:rsidRPr="009D7616">
          <w:rPr>
            <w:rStyle w:val="Lienhypertexte"/>
            <w:rFonts w:ascii="Arial" w:hAnsi="Arial" w:hint="cs"/>
            <w:b/>
            <w:bCs/>
            <w:rtl/>
            <w:lang w:bidi="ar-TN"/>
          </w:rPr>
          <w:t>بالملحق عدد 2</w:t>
        </w:r>
      </w:hyperlink>
      <w:r w:rsidRPr="006F4B27">
        <w:rPr>
          <w:rFonts w:ascii="Arial" w:hAnsi="Arial" w:hint="cs"/>
          <w:b/>
          <w:bCs/>
          <w:u w:val="single"/>
          <w:rtl/>
          <w:lang w:bidi="ar-TN"/>
        </w:rPr>
        <w:t xml:space="preserve">): </w:t>
      </w:r>
    </w:p>
    <w:p w:rsidR="001075C3" w:rsidRDefault="00CA5415" w:rsidP="006F4B27">
      <w:pPr>
        <w:bidi/>
        <w:spacing w:before="120" w:after="0" w:line="240" w:lineRule="auto"/>
        <w:ind w:left="283"/>
        <w:jc w:val="both"/>
        <w:rPr>
          <w:rFonts w:ascii="Arial" w:hAnsi="Arial"/>
          <w:rtl/>
          <w:lang w:bidi="ar-TN"/>
        </w:rPr>
      </w:pPr>
      <w:r>
        <w:rPr>
          <w:rFonts w:ascii="Arial" w:hAnsi="Arial" w:hint="cs"/>
          <w:rtl/>
          <w:lang w:bidi="ar-TN"/>
        </w:rPr>
        <w:t xml:space="preserve">يتم وجوبا التخلي النهائي عن تسجيل المراسلات بالمنظومة القديمة لمكاتب </w:t>
      </w:r>
      <w:r w:rsidR="006F4B27">
        <w:rPr>
          <w:rFonts w:ascii="Arial" w:hAnsi="Arial" w:hint="cs"/>
          <w:rtl/>
          <w:lang w:bidi="ar-TN"/>
        </w:rPr>
        <w:t>الضبط (</w:t>
      </w:r>
      <w:r>
        <w:rPr>
          <w:rFonts w:ascii="Arial" w:hAnsi="Arial"/>
          <w:lang w:bidi="ar-TN"/>
        </w:rPr>
        <w:t>sygec</w:t>
      </w:r>
      <w:r>
        <w:rPr>
          <w:rFonts w:ascii="Arial" w:hAnsi="Arial" w:hint="cs"/>
          <w:rtl/>
          <w:lang w:bidi="ar-TN"/>
        </w:rPr>
        <w:t>) وذلك بداية من تاريخ إمضاء هذا المنشور.</w:t>
      </w:r>
    </w:p>
    <w:p w:rsidR="00CA5415" w:rsidRDefault="00CA5415" w:rsidP="006F4B27">
      <w:pPr>
        <w:bidi/>
        <w:spacing w:before="120" w:after="0" w:line="240" w:lineRule="auto"/>
        <w:ind w:left="283"/>
        <w:jc w:val="both"/>
        <w:rPr>
          <w:rFonts w:ascii="Arial" w:hAnsi="Arial"/>
          <w:rtl/>
          <w:lang w:bidi="ar-TN"/>
        </w:rPr>
      </w:pPr>
      <w:r>
        <w:rPr>
          <w:rFonts w:ascii="Arial" w:hAnsi="Arial" w:hint="cs"/>
          <w:rtl/>
          <w:lang w:bidi="ar-TN"/>
        </w:rPr>
        <w:t xml:space="preserve">يتم وجوبا تبادل المراسلات داخل الوزارات النموذجية أو فيما بينها </w:t>
      </w:r>
      <w:r w:rsidR="00534E92">
        <w:rPr>
          <w:rFonts w:ascii="Arial" w:hAnsi="Arial" w:hint="cs"/>
          <w:rtl/>
          <w:lang w:bidi="ar-TN"/>
        </w:rPr>
        <w:t>عبر</w:t>
      </w:r>
      <w:r>
        <w:rPr>
          <w:rFonts w:ascii="Arial" w:hAnsi="Arial" w:hint="cs"/>
          <w:rtl/>
          <w:lang w:bidi="ar-TN"/>
        </w:rPr>
        <w:t xml:space="preserve"> المنظومة حسب الإجراءات المدرجة </w:t>
      </w:r>
      <w:hyperlink r:id="rId9" w:history="1">
        <w:r w:rsidRPr="009D7616">
          <w:rPr>
            <w:rStyle w:val="Lienhypertexte"/>
            <w:rFonts w:ascii="Arial" w:hAnsi="Arial" w:hint="cs"/>
            <w:rtl/>
            <w:lang w:bidi="ar-TN"/>
          </w:rPr>
          <w:t>بالملحق عدد1</w:t>
        </w:r>
      </w:hyperlink>
      <w:r>
        <w:rPr>
          <w:rFonts w:ascii="Arial" w:hAnsi="Arial" w:hint="cs"/>
          <w:rtl/>
          <w:lang w:bidi="ar-TN"/>
        </w:rPr>
        <w:t xml:space="preserve">. وعليه فإن الوزارات المذكورة مدعوة إلى التخلي </w:t>
      </w:r>
      <w:r w:rsidR="00534E92">
        <w:rPr>
          <w:rFonts w:ascii="Arial" w:hAnsi="Arial" w:hint="cs"/>
          <w:rtl/>
          <w:lang w:bidi="ar-TN"/>
        </w:rPr>
        <w:t xml:space="preserve">التدريجي </w:t>
      </w:r>
      <w:r>
        <w:rPr>
          <w:rFonts w:ascii="Arial" w:hAnsi="Arial" w:hint="cs"/>
          <w:rtl/>
          <w:lang w:bidi="ar-TN"/>
        </w:rPr>
        <w:t>عن استعمال المراسلات في شكلها الورقي وذلك إلى غاية موفى شهر مارس 2018 وذلك باستثناء المراسلات موضوع الملحق عدد 3 التي تكون خاضعة للتبادل عبر المنظومة بالتوازي مع التبادل في شكلها الورقي.</w:t>
      </w:r>
    </w:p>
    <w:p w:rsidR="00CA5415" w:rsidRDefault="00CA5415" w:rsidP="006F4B27">
      <w:pPr>
        <w:bidi/>
        <w:spacing w:before="120" w:after="0" w:line="240" w:lineRule="auto"/>
        <w:ind w:left="283"/>
        <w:jc w:val="both"/>
        <w:rPr>
          <w:rFonts w:ascii="Arial" w:hAnsi="Arial"/>
          <w:lang w:bidi="ar-TN"/>
        </w:rPr>
      </w:pPr>
      <w:r>
        <w:rPr>
          <w:rFonts w:ascii="Arial" w:hAnsi="Arial" w:hint="cs"/>
          <w:rtl/>
          <w:lang w:bidi="ar-TN"/>
        </w:rPr>
        <w:lastRenderedPageBreak/>
        <w:t xml:space="preserve">يتم تبادل المراسلات مع الوزارات النموذجية وبقية الوزارات والهياكل العمومية حسب الإجراءات المدرجة </w:t>
      </w:r>
      <w:hyperlink r:id="rId10" w:history="1">
        <w:r w:rsidRPr="009D7616">
          <w:rPr>
            <w:rStyle w:val="Lienhypertexte"/>
            <w:rFonts w:ascii="Arial" w:hAnsi="Arial" w:hint="cs"/>
            <w:rtl/>
            <w:lang w:bidi="ar-TN"/>
          </w:rPr>
          <w:t>بالملحق عدد 4</w:t>
        </w:r>
      </w:hyperlink>
      <w:r>
        <w:rPr>
          <w:rFonts w:ascii="Arial" w:hAnsi="Arial" w:hint="cs"/>
          <w:rtl/>
          <w:lang w:bidi="ar-TN"/>
        </w:rPr>
        <w:t>.</w:t>
      </w:r>
    </w:p>
    <w:p w:rsidR="006F4B27" w:rsidRDefault="006F4B27" w:rsidP="009D7616">
      <w:pPr>
        <w:bidi/>
        <w:spacing w:after="0" w:line="240" w:lineRule="auto"/>
        <w:ind w:left="283"/>
        <w:jc w:val="both"/>
        <w:rPr>
          <w:rFonts w:ascii="Arial" w:hAnsi="Arial"/>
          <w:b/>
          <w:bCs/>
          <w:u w:val="single"/>
          <w:rtl/>
          <w:lang w:bidi="ar-TN"/>
        </w:rPr>
      </w:pPr>
    </w:p>
    <w:p w:rsidR="00E65388" w:rsidRPr="006F4B27" w:rsidRDefault="00E65388" w:rsidP="006F4B27">
      <w:pPr>
        <w:bidi/>
        <w:spacing w:before="120" w:after="0" w:line="240" w:lineRule="auto"/>
        <w:ind w:left="283"/>
        <w:jc w:val="both"/>
        <w:rPr>
          <w:rFonts w:ascii="Arial" w:hAnsi="Arial"/>
          <w:b/>
          <w:bCs/>
          <w:u w:val="single"/>
          <w:rtl/>
          <w:lang w:bidi="ar-TN"/>
        </w:rPr>
      </w:pPr>
      <w:r w:rsidRPr="006F4B27">
        <w:rPr>
          <w:rFonts w:ascii="Arial" w:hAnsi="Arial" w:hint="cs"/>
          <w:b/>
          <w:bCs/>
          <w:u w:val="single"/>
          <w:rtl/>
          <w:lang w:bidi="ar-TN"/>
        </w:rPr>
        <w:t xml:space="preserve">ثانيا: بالنسبة إلى بقية الوزارات غير النموذجية والمؤسسات العمومية والإدارات الجهوية: </w:t>
      </w:r>
    </w:p>
    <w:p w:rsidR="00E65388" w:rsidRDefault="00E65388" w:rsidP="006F4B27">
      <w:pPr>
        <w:bidi/>
        <w:spacing w:before="120" w:after="0" w:line="240" w:lineRule="auto"/>
        <w:ind w:left="283"/>
        <w:jc w:val="both"/>
        <w:rPr>
          <w:rFonts w:ascii="Arial" w:hAnsi="Arial"/>
          <w:rtl/>
          <w:lang w:bidi="ar-TN"/>
        </w:rPr>
      </w:pPr>
      <w:r>
        <w:rPr>
          <w:rFonts w:ascii="Arial" w:hAnsi="Arial" w:hint="cs"/>
          <w:rtl/>
          <w:lang w:bidi="ar-TN"/>
        </w:rPr>
        <w:t>يتم تبادل المراسلات مع الوزارات النموذجية بطريقة إلكترونية وذلك حسب الإجراءات المدرجة بالملحق عدد 4 باستثناء موضوع الملحق عدد 3.</w:t>
      </w:r>
    </w:p>
    <w:p w:rsidR="00E65388" w:rsidRDefault="00E65388" w:rsidP="006F4B27">
      <w:pPr>
        <w:bidi/>
        <w:spacing w:before="120" w:after="0" w:line="240" w:lineRule="auto"/>
        <w:ind w:left="283"/>
        <w:jc w:val="both"/>
        <w:rPr>
          <w:rFonts w:ascii="Arial" w:hAnsi="Arial"/>
          <w:rtl/>
          <w:lang w:bidi="ar-TN"/>
        </w:rPr>
      </w:pPr>
      <w:r>
        <w:rPr>
          <w:rFonts w:ascii="Arial" w:hAnsi="Arial" w:hint="cs"/>
          <w:rtl/>
          <w:lang w:bidi="ar-TN"/>
        </w:rPr>
        <w:t>يتواصل تبادل المراسلات بالنسبة إلى الوزارات غير النموذجية فيما بينها، كما هو معمول به في تاريخ إمضاء هذا المنشور وذلك إلى حين تعميم المنظومة الذي سيتم خلال الفترة الممتدة من سنة 2018 إلى سنة 2020.</w:t>
      </w:r>
    </w:p>
    <w:p w:rsidR="006F4B27" w:rsidRDefault="006F4B27" w:rsidP="006F4B27">
      <w:pPr>
        <w:bidi/>
        <w:spacing w:after="0" w:line="240" w:lineRule="auto"/>
        <w:ind w:left="283"/>
        <w:jc w:val="both"/>
        <w:rPr>
          <w:rFonts w:ascii="Arial" w:hAnsi="Arial"/>
          <w:rtl/>
          <w:lang w:bidi="ar-TN"/>
        </w:rPr>
      </w:pPr>
    </w:p>
    <w:p w:rsidR="00E65388" w:rsidRDefault="00E65388" w:rsidP="006F4B27">
      <w:pPr>
        <w:bidi/>
        <w:spacing w:after="0" w:line="240" w:lineRule="auto"/>
        <w:ind w:left="283"/>
        <w:jc w:val="both"/>
        <w:rPr>
          <w:rFonts w:ascii="Arial" w:hAnsi="Arial"/>
          <w:rtl/>
          <w:lang w:bidi="ar-TN"/>
        </w:rPr>
      </w:pPr>
      <w:r>
        <w:rPr>
          <w:rFonts w:ascii="Arial" w:hAnsi="Arial" w:hint="cs"/>
          <w:rtl/>
          <w:lang w:bidi="ar-TN"/>
        </w:rPr>
        <w:t xml:space="preserve">ويضبط دليل الإجراءات الخاص بالمنظومة المرفق بالمرفق بالملحق عدد 1 من هذا المنشور الإجراءات والقواعد التي يتعين على المتعاملين بالمنظومة اتباعها وكيفية تطبيقها ويتم تحيين الدليل عند الاقتضاء من قبل لجنة خاصة </w:t>
      </w:r>
      <w:r w:rsidR="006F4B27">
        <w:rPr>
          <w:rFonts w:ascii="Arial" w:hAnsi="Arial" w:hint="cs"/>
          <w:rtl/>
          <w:lang w:bidi="ar-TN"/>
        </w:rPr>
        <w:t>تحدث</w:t>
      </w:r>
      <w:r>
        <w:rPr>
          <w:rFonts w:ascii="Arial" w:hAnsi="Arial" w:hint="cs"/>
          <w:rtl/>
          <w:lang w:bidi="ar-TN"/>
        </w:rPr>
        <w:t xml:space="preserve"> لدى وزا</w:t>
      </w:r>
      <w:r w:rsidR="006F4B27">
        <w:rPr>
          <w:rFonts w:ascii="Arial" w:hAnsi="Arial" w:hint="cs"/>
          <w:rtl/>
          <w:lang w:bidi="ar-TN"/>
        </w:rPr>
        <w:t>رة تكنولوجيات الاتصال والاقتاد الرقمي.</w:t>
      </w:r>
    </w:p>
    <w:p w:rsidR="006F4B27" w:rsidRDefault="006F4B27" w:rsidP="006F4B27">
      <w:pPr>
        <w:bidi/>
        <w:spacing w:after="0" w:line="240" w:lineRule="auto"/>
        <w:ind w:left="283"/>
        <w:jc w:val="both"/>
        <w:rPr>
          <w:rFonts w:ascii="Arial" w:hAnsi="Arial"/>
          <w:rtl/>
          <w:lang w:bidi="ar-TN"/>
        </w:rPr>
      </w:pPr>
      <w:bookmarkStart w:id="0" w:name="_GoBack"/>
      <w:bookmarkEnd w:id="0"/>
    </w:p>
    <w:p w:rsidR="006F4B27" w:rsidRDefault="006F4B27" w:rsidP="006F4B27">
      <w:pPr>
        <w:bidi/>
        <w:spacing w:after="0" w:line="240" w:lineRule="auto"/>
        <w:ind w:left="283"/>
        <w:jc w:val="both"/>
        <w:rPr>
          <w:rFonts w:ascii="Arial" w:hAnsi="Arial"/>
          <w:rtl/>
          <w:lang w:bidi="ar-TN"/>
        </w:rPr>
      </w:pPr>
      <w:r>
        <w:rPr>
          <w:rFonts w:ascii="Arial" w:hAnsi="Arial" w:hint="cs"/>
          <w:rtl/>
          <w:lang w:bidi="ar-TN"/>
        </w:rPr>
        <w:t>ونظرا لما يكتسيه تعميم وحسن استعمال منظومة "عليسة" من أهمية لضمان أكثر نجاعة في التصرف في المراسلات داخل الإدارة التونسية، فالمرجو من السيدات والسادة الوزراء وكتاب الدولة والولاة ورؤساء البلديات والمديرين العامين والرؤساء المديرين العامين للمؤسسات والمنشآت العمومية إيلاء العناية اللازمة لهذا المنشور ودعوة المصالح الراجعة إليهم بالنظر إلى حسن تطبيق ما جاء به.</w:t>
      </w:r>
    </w:p>
    <w:p w:rsidR="006F4B27" w:rsidRDefault="006F4B27" w:rsidP="006F4B27">
      <w:pPr>
        <w:bidi/>
        <w:spacing w:after="0" w:line="240" w:lineRule="auto"/>
        <w:ind w:left="283"/>
        <w:jc w:val="both"/>
        <w:rPr>
          <w:rFonts w:ascii="Arial" w:hAnsi="Arial" w:hint="cs"/>
          <w:rtl/>
          <w:lang w:bidi="ar-TN"/>
        </w:rPr>
      </w:pPr>
    </w:p>
    <w:p w:rsidR="00CA5415" w:rsidRDefault="00CA5415" w:rsidP="006F4B27">
      <w:pPr>
        <w:bidi/>
        <w:spacing w:after="0" w:line="240" w:lineRule="auto"/>
        <w:ind w:left="283"/>
        <w:jc w:val="both"/>
        <w:rPr>
          <w:rFonts w:ascii="Arial" w:hAnsi="Arial" w:hint="cs"/>
          <w:lang w:bidi="ar-TN"/>
        </w:rPr>
      </w:pPr>
    </w:p>
    <w:p w:rsidR="001075C3" w:rsidRPr="001075C3" w:rsidRDefault="001075C3" w:rsidP="006F4B27">
      <w:pPr>
        <w:bidi/>
        <w:spacing w:after="0" w:line="240" w:lineRule="auto"/>
        <w:ind w:left="283"/>
        <w:jc w:val="both"/>
        <w:rPr>
          <w:rFonts w:ascii="Arial" w:hAnsi="Arial"/>
          <w:rtl/>
          <w:lang w:bidi="ar-TN"/>
        </w:rPr>
      </w:pPr>
    </w:p>
    <w:p w:rsidR="007C4DF4" w:rsidRDefault="007C4DF4" w:rsidP="006F4B27">
      <w:pPr>
        <w:bidi/>
        <w:spacing w:after="0" w:line="240" w:lineRule="auto"/>
        <w:ind w:left="283"/>
        <w:jc w:val="both"/>
        <w:rPr>
          <w:rFonts w:ascii="Arial" w:hAnsi="Arial"/>
          <w:rtl/>
          <w:lang w:bidi="ar-TN"/>
        </w:rPr>
      </w:pPr>
      <w:r>
        <w:rPr>
          <w:rFonts w:ascii="Arial" w:hAnsi="Arial" w:hint="cs"/>
          <w:rtl/>
          <w:lang w:bidi="ar-TN"/>
        </w:rPr>
        <w:t xml:space="preserve"> </w:t>
      </w:r>
    </w:p>
    <w:p w:rsidR="007C4DF4" w:rsidRPr="008D0D57" w:rsidRDefault="007C4DF4" w:rsidP="006F4B27">
      <w:pPr>
        <w:bidi/>
        <w:spacing w:after="0" w:line="240" w:lineRule="auto"/>
        <w:ind w:left="283"/>
        <w:jc w:val="both"/>
        <w:rPr>
          <w:rFonts w:ascii="Arial" w:hAnsi="Arial" w:hint="cs"/>
          <w:lang w:bidi="ar-TN"/>
        </w:rPr>
      </w:pPr>
      <w:r>
        <w:rPr>
          <w:rFonts w:ascii="Arial" w:hAnsi="Arial" w:hint="cs"/>
          <w:rtl/>
          <w:lang w:bidi="ar-TN"/>
        </w:rPr>
        <w:t xml:space="preserve"> </w:t>
      </w:r>
    </w:p>
    <w:sectPr w:rsidR="007C4DF4" w:rsidRPr="008D0D57" w:rsidSect="00B944AD">
      <w:headerReference w:type="even" r:id="rId11"/>
      <w:headerReference w:type="default" r:id="rId12"/>
      <w:footerReference w:type="even" r:id="rId13"/>
      <w:footerReference w:type="defaul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BB4" w:rsidRDefault="00EE1BB4">
      <w:pPr>
        <w:spacing w:after="0" w:line="240" w:lineRule="auto"/>
      </w:pPr>
      <w:r>
        <w:separator/>
      </w:r>
    </w:p>
  </w:endnote>
  <w:endnote w:type="continuationSeparator" w:id="0">
    <w:p w:rsidR="00EE1BB4" w:rsidRDefault="00EE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88" w:rsidRPr="00A91DAC" w:rsidRDefault="00E65388">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E65388" w:rsidRPr="00A00644" w:rsidRDefault="00E65388" w:rsidP="00B944AD">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F35A7B">
                            <w:rPr>
                              <w:rFonts w:ascii="Arial" w:hAnsi="Arial"/>
                              <w:noProof/>
                              <w:sz w:val="18"/>
                              <w:szCs w:val="18"/>
                            </w:rPr>
                            <w:t>2</w:t>
                          </w:r>
                          <w:r w:rsidRPr="001E5DD5">
                            <w:rPr>
                              <w:rFonts w:ascii="Arial" w:hAnsi="Arial"/>
                              <w:noProof/>
                              <w:sz w:val="18"/>
                              <w:szCs w:val="18"/>
                            </w:rPr>
                            <w:fldChar w:fldCharType="end"/>
                          </w:r>
                        </w:p>
                        <w:p w:rsidR="00E65388" w:rsidRDefault="00E65388" w:rsidP="00B944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E65388" w:rsidRPr="00A00644" w:rsidRDefault="00E65388" w:rsidP="00B944AD">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F35A7B">
                      <w:rPr>
                        <w:rFonts w:ascii="Arial" w:hAnsi="Arial"/>
                        <w:noProof/>
                        <w:sz w:val="18"/>
                        <w:szCs w:val="18"/>
                      </w:rPr>
                      <w:t>2</w:t>
                    </w:r>
                    <w:r w:rsidRPr="001E5DD5">
                      <w:rPr>
                        <w:rFonts w:ascii="Arial" w:hAnsi="Arial"/>
                        <w:noProof/>
                        <w:sz w:val="18"/>
                        <w:szCs w:val="18"/>
                      </w:rPr>
                      <w:fldChar w:fldCharType="end"/>
                    </w:r>
                  </w:p>
                  <w:p w:rsidR="00E65388" w:rsidRDefault="00E65388" w:rsidP="00B944AD">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88" w:rsidRDefault="00E65388">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E65388" w:rsidRPr="00A00644" w:rsidRDefault="00E65388" w:rsidP="00B944AD">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EE1BB4">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EE1BB4">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E65388" w:rsidRPr="00A00644" w:rsidRDefault="00E65388" w:rsidP="00B944AD">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EE1BB4">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EE1BB4">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BB4" w:rsidRDefault="00EE1BB4">
      <w:pPr>
        <w:spacing w:after="0" w:line="240" w:lineRule="auto"/>
      </w:pPr>
      <w:r>
        <w:separator/>
      </w:r>
    </w:p>
  </w:footnote>
  <w:footnote w:type="continuationSeparator" w:id="0">
    <w:p w:rsidR="00EE1BB4" w:rsidRDefault="00EE1BB4">
      <w:pPr>
        <w:spacing w:after="0" w:line="240" w:lineRule="auto"/>
      </w:pPr>
      <w:r>
        <w:continuationSeparator/>
      </w:r>
    </w:p>
  </w:footnote>
  <w:footnote w:id="1">
    <w:p w:rsidR="009D7616" w:rsidRDefault="009D7616" w:rsidP="009D7616">
      <w:pPr>
        <w:pStyle w:val="Notedebasdepage"/>
        <w:bidi/>
        <w:ind w:left="283"/>
        <w:jc w:val="both"/>
        <w:rPr>
          <w:rtl/>
          <w:lang w:bidi="ar-TN"/>
        </w:rPr>
      </w:pPr>
      <w:r>
        <w:rPr>
          <w:rStyle w:val="Appelnotedebasdep"/>
        </w:rPr>
        <w:footnoteRef/>
      </w:r>
      <w:r>
        <w:t xml:space="preserve"> </w:t>
      </w:r>
      <w:r>
        <w:rPr>
          <w:rFonts w:hint="cs"/>
          <w:rtl/>
          <w:lang w:bidi="ar-TN"/>
        </w:rPr>
        <w:t xml:space="preserve">يمكن الاطلاع على الملاحق عبر الرابط التالي: </w:t>
      </w:r>
      <w:hyperlink r:id="rId1" w:history="1">
        <w:r w:rsidRPr="00D277DD">
          <w:rPr>
            <w:rStyle w:val="Lienhypertexte"/>
            <w:lang w:bidi="ar-TN"/>
          </w:rPr>
          <w:t>http://www.legislation.tn/sites/default/files/18-04.pdf</w:t>
        </w:r>
      </w:hyperlink>
    </w:p>
    <w:p w:rsidR="009D7616" w:rsidRDefault="009D7616" w:rsidP="009D7616">
      <w:pPr>
        <w:pStyle w:val="Notedebasdepage"/>
        <w:bidi/>
        <w:ind w:left="283"/>
        <w:jc w:val="both"/>
        <w:rPr>
          <w:rFonts w:hint="cs"/>
          <w:rtl/>
          <w:lang w:bidi="ar-T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88" w:rsidRDefault="00E65388">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E65388" w:rsidRDefault="00E65388" w:rsidP="00B944AD">
                          <w:pPr>
                            <w:spacing w:after="0" w:line="240" w:lineRule="auto"/>
                            <w:ind w:left="567"/>
                            <w:rPr>
                              <w:rFonts w:ascii="Arial" w:eastAsia="Times New Roman" w:hAnsi="Arial" w:cs="Times New Roman"/>
                              <w:sz w:val="24"/>
                              <w:szCs w:val="24"/>
                            </w:rPr>
                          </w:pPr>
                        </w:p>
                        <w:p w:rsidR="00E65388" w:rsidRPr="005F7BF4" w:rsidRDefault="00E65388" w:rsidP="00B944AD">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65388" w:rsidRPr="005F7BF4" w:rsidRDefault="00E65388" w:rsidP="00B944AD">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E65388" w:rsidRDefault="00E65388" w:rsidP="00B944AD">
                    <w:pPr>
                      <w:spacing w:after="0" w:line="240" w:lineRule="auto"/>
                      <w:ind w:left="567"/>
                      <w:rPr>
                        <w:rFonts w:ascii="Arial" w:eastAsia="Times New Roman" w:hAnsi="Arial" w:cs="Times New Roman"/>
                        <w:sz w:val="24"/>
                        <w:szCs w:val="24"/>
                      </w:rPr>
                    </w:pPr>
                  </w:p>
                  <w:p w:rsidR="00E65388" w:rsidRPr="005F7BF4" w:rsidRDefault="00E65388" w:rsidP="00B944AD">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65388" w:rsidRPr="005F7BF4" w:rsidRDefault="00E65388" w:rsidP="00B944AD">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88" w:rsidRDefault="00E65388">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E65388" w:rsidRDefault="00E65388" w:rsidP="00B944AD">
                          <w:pPr>
                            <w:spacing w:after="0" w:line="20" w:lineRule="atLeast"/>
                            <w:ind w:left="567"/>
                            <w:rPr>
                              <w:rFonts w:ascii="Arial" w:eastAsia="Times New Roman" w:hAnsi="Arial"/>
                              <w:sz w:val="24"/>
                              <w:szCs w:val="20"/>
                            </w:rPr>
                          </w:pPr>
                        </w:p>
                        <w:p w:rsidR="00E65388" w:rsidRPr="00696C4B" w:rsidRDefault="00E65388" w:rsidP="00B944AD">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E65388" w:rsidRPr="00317C84" w:rsidRDefault="00E65388" w:rsidP="00B944AD">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E65388" w:rsidRDefault="00E65388" w:rsidP="00B944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E65388" w:rsidRDefault="00E65388" w:rsidP="00B944AD">
                    <w:pPr>
                      <w:spacing w:after="0" w:line="20" w:lineRule="atLeast"/>
                      <w:ind w:left="567"/>
                      <w:rPr>
                        <w:rFonts w:ascii="Arial" w:eastAsia="Times New Roman" w:hAnsi="Arial"/>
                        <w:sz w:val="24"/>
                        <w:szCs w:val="20"/>
                      </w:rPr>
                    </w:pPr>
                  </w:p>
                  <w:p w:rsidR="00E65388" w:rsidRPr="00696C4B" w:rsidRDefault="00E65388" w:rsidP="00B944AD">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E65388" w:rsidRPr="00317C84" w:rsidRDefault="00E65388" w:rsidP="00B944AD">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E65388" w:rsidRDefault="00E65388" w:rsidP="00B944AD">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42D9"/>
    <w:multiLevelType w:val="hybridMultilevel"/>
    <w:tmpl w:val="D0FC0FA2"/>
    <w:lvl w:ilvl="0" w:tplc="6186D3BE">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502F5AC9"/>
    <w:multiLevelType w:val="hybridMultilevel"/>
    <w:tmpl w:val="3FF63E4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52332F35"/>
    <w:multiLevelType w:val="hybridMultilevel"/>
    <w:tmpl w:val="9364CE92"/>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55FC7A96"/>
    <w:multiLevelType w:val="hybridMultilevel"/>
    <w:tmpl w:val="2C1ED87C"/>
    <w:lvl w:ilvl="0" w:tplc="276EEA1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F4"/>
    <w:rsid w:val="001075C3"/>
    <w:rsid w:val="00182C27"/>
    <w:rsid w:val="004C52DC"/>
    <w:rsid w:val="004F2FE7"/>
    <w:rsid w:val="00534E92"/>
    <w:rsid w:val="005A6D96"/>
    <w:rsid w:val="006E651F"/>
    <w:rsid w:val="006F4B27"/>
    <w:rsid w:val="007943CF"/>
    <w:rsid w:val="007C4DF4"/>
    <w:rsid w:val="008D0D57"/>
    <w:rsid w:val="009D7616"/>
    <w:rsid w:val="00A050EA"/>
    <w:rsid w:val="00AA7E95"/>
    <w:rsid w:val="00AF5773"/>
    <w:rsid w:val="00B944AD"/>
    <w:rsid w:val="00BC16DA"/>
    <w:rsid w:val="00C51231"/>
    <w:rsid w:val="00C547E8"/>
    <w:rsid w:val="00CA5415"/>
    <w:rsid w:val="00CB7CD8"/>
    <w:rsid w:val="00CF74DC"/>
    <w:rsid w:val="00D37C1F"/>
    <w:rsid w:val="00E65388"/>
    <w:rsid w:val="00E962D7"/>
    <w:rsid w:val="00EE1BB4"/>
    <w:rsid w:val="00F35A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058EC"/>
  <w15:chartTrackingRefBased/>
  <w15:docId w15:val="{E683206C-3F04-4144-97B2-FEE0BC32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 w:type="character" w:styleId="Marquedecommentaire">
    <w:name w:val="annotation reference"/>
    <w:basedOn w:val="Policepardfaut"/>
    <w:uiPriority w:val="99"/>
    <w:semiHidden/>
    <w:unhideWhenUsed/>
    <w:rsid w:val="007C4DF4"/>
    <w:rPr>
      <w:sz w:val="16"/>
      <w:szCs w:val="16"/>
    </w:rPr>
  </w:style>
  <w:style w:type="paragraph" w:styleId="Commentaire">
    <w:name w:val="annotation text"/>
    <w:basedOn w:val="Normal"/>
    <w:link w:val="CommentaireCar"/>
    <w:uiPriority w:val="99"/>
    <w:semiHidden/>
    <w:unhideWhenUsed/>
    <w:rsid w:val="007C4DF4"/>
    <w:pPr>
      <w:spacing w:line="240" w:lineRule="auto"/>
    </w:pPr>
    <w:rPr>
      <w:sz w:val="20"/>
      <w:szCs w:val="20"/>
    </w:rPr>
  </w:style>
  <w:style w:type="character" w:customStyle="1" w:styleId="CommentaireCar">
    <w:name w:val="Commentaire Car"/>
    <w:basedOn w:val="Policepardfaut"/>
    <w:link w:val="Commentaire"/>
    <w:uiPriority w:val="99"/>
    <w:semiHidden/>
    <w:rsid w:val="007C4DF4"/>
    <w:rPr>
      <w:lang w:eastAsia="en-US"/>
    </w:rPr>
  </w:style>
  <w:style w:type="paragraph" w:styleId="Objetducommentaire">
    <w:name w:val="annotation subject"/>
    <w:basedOn w:val="Commentaire"/>
    <w:next w:val="Commentaire"/>
    <w:link w:val="ObjetducommentaireCar"/>
    <w:uiPriority w:val="99"/>
    <w:semiHidden/>
    <w:unhideWhenUsed/>
    <w:rsid w:val="007C4DF4"/>
    <w:rPr>
      <w:b/>
      <w:bCs/>
    </w:rPr>
  </w:style>
  <w:style w:type="character" w:customStyle="1" w:styleId="ObjetducommentaireCar">
    <w:name w:val="Objet du commentaire Car"/>
    <w:basedOn w:val="CommentaireCar"/>
    <w:link w:val="Objetducommentaire"/>
    <w:uiPriority w:val="99"/>
    <w:semiHidden/>
    <w:rsid w:val="007C4DF4"/>
    <w:rPr>
      <w:b/>
      <w:bCs/>
      <w:lang w:eastAsia="en-US"/>
    </w:rPr>
  </w:style>
  <w:style w:type="paragraph" w:styleId="Textedebulles">
    <w:name w:val="Balloon Text"/>
    <w:basedOn w:val="Normal"/>
    <w:link w:val="TextedebullesCar"/>
    <w:uiPriority w:val="99"/>
    <w:semiHidden/>
    <w:unhideWhenUsed/>
    <w:rsid w:val="007C4D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4DF4"/>
    <w:rPr>
      <w:rFonts w:ascii="Segoe UI" w:hAnsi="Segoe UI" w:cs="Segoe UI"/>
      <w:sz w:val="18"/>
      <w:szCs w:val="18"/>
      <w:lang w:eastAsia="en-US"/>
    </w:rPr>
  </w:style>
  <w:style w:type="paragraph" w:styleId="Paragraphedeliste">
    <w:name w:val="List Paragraph"/>
    <w:basedOn w:val="Normal"/>
    <w:uiPriority w:val="34"/>
    <w:qFormat/>
    <w:rsid w:val="00C51231"/>
    <w:pPr>
      <w:ind w:left="720"/>
      <w:contextualSpacing/>
    </w:pPr>
  </w:style>
  <w:style w:type="character" w:styleId="Lienhypertexte">
    <w:name w:val="Hyperlink"/>
    <w:basedOn w:val="Policepardfaut"/>
    <w:uiPriority w:val="99"/>
    <w:unhideWhenUsed/>
    <w:rsid w:val="009D7616"/>
    <w:rPr>
      <w:color w:val="0563C1" w:themeColor="hyperlink"/>
      <w:u w:val="single"/>
    </w:rPr>
  </w:style>
  <w:style w:type="character" w:styleId="Mentionnonrsolue">
    <w:name w:val="Unresolved Mention"/>
    <w:basedOn w:val="Policepardfaut"/>
    <w:uiPriority w:val="99"/>
    <w:semiHidden/>
    <w:unhideWhenUsed/>
    <w:rsid w:val="009D7616"/>
    <w:rPr>
      <w:color w:val="808080"/>
      <w:shd w:val="clear" w:color="auto" w:fill="E6E6E6"/>
    </w:rPr>
  </w:style>
  <w:style w:type="paragraph" w:styleId="Notedebasdepage">
    <w:name w:val="footnote text"/>
    <w:basedOn w:val="Normal"/>
    <w:link w:val="NotedebasdepageCar"/>
    <w:uiPriority w:val="99"/>
    <w:semiHidden/>
    <w:unhideWhenUsed/>
    <w:rsid w:val="009D76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7616"/>
    <w:rPr>
      <w:lang w:eastAsia="en-US"/>
    </w:rPr>
  </w:style>
  <w:style w:type="character" w:styleId="Appelnotedebasdep">
    <w:name w:val="footnote reference"/>
    <w:basedOn w:val="Policepardfaut"/>
    <w:uiPriority w:val="99"/>
    <w:semiHidden/>
    <w:unhideWhenUsed/>
    <w:rsid w:val="009D76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tn/sites/default/files/18-0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tn/sites/default/files/18-04.pdf" TargetMode="External"/><Relationship Id="rId4" Type="http://schemas.openxmlformats.org/officeDocument/2006/relationships/settings" Target="settings.xml"/><Relationship Id="rId9" Type="http://schemas.openxmlformats.org/officeDocument/2006/relationships/hyperlink" Target="http://www.legislation.tn/sites/default/files/18-04.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tn/sites/default/files/18-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E09E-DA86-4D94-B450-57EA5C82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10</TotalTime>
  <Pages>2</Pages>
  <Words>696</Words>
  <Characters>3832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4</cp:revision>
  <cp:lastPrinted>2018-01-26T10:17:00Z</cp:lastPrinted>
  <dcterms:created xsi:type="dcterms:W3CDTF">2018-01-26T10:17:00Z</dcterms:created>
  <dcterms:modified xsi:type="dcterms:W3CDTF">2018-01-26T10:27:00Z</dcterms:modified>
</cp:coreProperties>
</file>