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C9" w:rsidRPr="00716664" w:rsidRDefault="00075DC9" w:rsidP="00CD6EFF">
      <w:pPr>
        <w:bidi/>
        <w:spacing w:before="0" w:after="0" w:line="240" w:lineRule="auto"/>
        <w:ind w:left="284"/>
        <w:jc w:val="both"/>
        <w:rPr>
          <w:rFonts w:cs="Arial"/>
          <w:b/>
          <w:bCs/>
          <w:rtl/>
          <w:lang w:bidi="ar-TN"/>
        </w:rPr>
      </w:pPr>
    </w:p>
    <w:p w:rsidR="00593000" w:rsidRPr="00716664" w:rsidRDefault="00593000" w:rsidP="00CD6EFF">
      <w:pPr>
        <w:bidi/>
        <w:spacing w:before="0" w:after="0" w:line="259" w:lineRule="auto"/>
        <w:contextualSpacing w:val="0"/>
        <w:jc w:val="both"/>
        <w:rPr>
          <w:rFonts w:cs="Arial"/>
          <w:rtl/>
        </w:rPr>
      </w:pPr>
    </w:p>
    <w:p w:rsidR="00CD6EFF" w:rsidRPr="00716664" w:rsidRDefault="00EA075E" w:rsidP="00CD6EFF">
      <w:pPr>
        <w:bidi/>
        <w:spacing w:before="0" w:after="0" w:line="259" w:lineRule="auto"/>
        <w:ind w:left="283"/>
        <w:contextualSpacing w:val="0"/>
        <w:jc w:val="both"/>
        <w:rPr>
          <w:rFonts w:eastAsia="Calibri" w:cs="Arial"/>
          <w:b/>
          <w:bCs/>
          <w:sz w:val="24"/>
          <w:szCs w:val="24"/>
          <w:rtl/>
          <w:lang w:val="fr-FR"/>
        </w:rPr>
      </w:pPr>
      <w:r>
        <w:rPr>
          <w:rFonts w:eastAsia="Calibri" w:cs="Arial" w:hint="cs"/>
          <w:b/>
          <w:bCs/>
          <w:sz w:val="24"/>
          <w:szCs w:val="24"/>
          <w:rtl/>
          <w:lang w:val="fr-FR" w:bidi="ar-TN"/>
        </w:rPr>
        <w:t>منشور عدد 35 لسنة 2017 مؤرخ في 19 ديسمبر 2017 حول تقييم نشاط الوزارات لسنة 2017</w:t>
      </w:r>
    </w:p>
    <w:p w:rsidR="00CD6EFF" w:rsidRDefault="00CD6EFF" w:rsidP="005C64D1">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rPr>
        <w:br/>
      </w:r>
      <w:r w:rsidR="005C64D1">
        <w:rPr>
          <w:rFonts w:cs="Arial" w:hint="cs"/>
          <w:color w:val="000000"/>
          <w:shd w:val="clear" w:color="auto" w:fill="FFFFFF"/>
          <w:rtl/>
        </w:rPr>
        <w:t>وبعد، ففي إطار الحرص على تقييم نشاط مختلف الوزارات خلال سنة 2017 والوقوف على النتائج والإنجازات المسجلة بمختلف القطاعات وعلى مدى تحقيق الأهداف المرجوة من التدخلات العمومية وتحديد مدى نجاعتها وآثارها بما يساعد على استشراف آفاق العمل الحكومي، المطلوب منكم موافاتي في أجل لا يتجاوز يوم 26 ديسمبر 2017 بمذكرة تأليفية تتضمن أهم:</w:t>
      </w:r>
    </w:p>
    <w:p w:rsidR="005C64D1" w:rsidRDefault="005C64D1" w:rsidP="005C64D1">
      <w:pPr>
        <w:pStyle w:val="Paragraphedeliste"/>
        <w:numPr>
          <w:ilvl w:val="0"/>
          <w:numId w:val="12"/>
        </w:numPr>
        <w:bidi/>
        <w:spacing w:after="0" w:line="259" w:lineRule="auto"/>
        <w:contextualSpacing w:val="0"/>
        <w:jc w:val="both"/>
        <w:rPr>
          <w:rFonts w:cs="Arial"/>
          <w:color w:val="000000"/>
          <w:shd w:val="clear" w:color="auto" w:fill="FFFFFF"/>
        </w:rPr>
      </w:pPr>
      <w:r>
        <w:rPr>
          <w:rFonts w:cs="Arial" w:hint="cs"/>
          <w:color w:val="000000"/>
          <w:shd w:val="clear" w:color="auto" w:fill="FFFFFF"/>
          <w:rtl/>
        </w:rPr>
        <w:t>الإنجازات الكمية والنوعية المسجلة في القطا</w:t>
      </w:r>
      <w:bookmarkStart w:id="0" w:name="_GoBack"/>
      <w:bookmarkEnd w:id="0"/>
      <w:r>
        <w:rPr>
          <w:rFonts w:cs="Arial" w:hint="cs"/>
          <w:color w:val="000000"/>
          <w:shd w:val="clear" w:color="auto" w:fill="FFFFFF"/>
          <w:rtl/>
        </w:rPr>
        <w:t>عات الراجعة لكم بالنظر.</w:t>
      </w:r>
    </w:p>
    <w:p w:rsidR="005C64D1" w:rsidRDefault="005C64D1" w:rsidP="005C64D1">
      <w:pPr>
        <w:pStyle w:val="Paragraphedeliste"/>
        <w:numPr>
          <w:ilvl w:val="0"/>
          <w:numId w:val="12"/>
        </w:numPr>
        <w:bidi/>
        <w:spacing w:after="0" w:line="259" w:lineRule="auto"/>
        <w:contextualSpacing w:val="0"/>
        <w:jc w:val="both"/>
        <w:rPr>
          <w:rFonts w:cs="Arial"/>
          <w:color w:val="000000"/>
          <w:shd w:val="clear" w:color="auto" w:fill="FFFFFF"/>
        </w:rPr>
      </w:pPr>
      <w:r>
        <w:rPr>
          <w:rFonts w:cs="Arial" w:hint="cs"/>
          <w:color w:val="000000"/>
          <w:shd w:val="clear" w:color="auto" w:fill="FFFFFF"/>
          <w:rtl/>
        </w:rPr>
        <w:t>المؤشرات التي تعكس مدى التطور الذي تشهده القطاعات المذكورة.</w:t>
      </w:r>
    </w:p>
    <w:p w:rsidR="005C64D1" w:rsidRDefault="005C64D1" w:rsidP="005C64D1">
      <w:pPr>
        <w:pStyle w:val="Paragraphedeliste"/>
        <w:numPr>
          <w:ilvl w:val="0"/>
          <w:numId w:val="12"/>
        </w:numPr>
        <w:bidi/>
        <w:spacing w:after="0" w:line="259" w:lineRule="auto"/>
        <w:contextualSpacing w:val="0"/>
        <w:jc w:val="both"/>
        <w:rPr>
          <w:rFonts w:cs="Arial"/>
          <w:color w:val="000000"/>
          <w:shd w:val="clear" w:color="auto" w:fill="FFFFFF"/>
        </w:rPr>
      </w:pPr>
      <w:r>
        <w:rPr>
          <w:rFonts w:cs="Arial" w:hint="cs"/>
          <w:color w:val="000000"/>
          <w:shd w:val="clear" w:color="auto" w:fill="FFFFFF"/>
          <w:rtl/>
        </w:rPr>
        <w:t>الإخلالات التي صاحبت تنفيذ السياسات والبرامج والأنشطة العمومية ومكامن النقص التي تضمنتها.</w:t>
      </w:r>
    </w:p>
    <w:p w:rsidR="005C64D1" w:rsidRDefault="005C64D1" w:rsidP="005C64D1">
      <w:pPr>
        <w:pStyle w:val="Paragraphedeliste"/>
        <w:numPr>
          <w:ilvl w:val="0"/>
          <w:numId w:val="12"/>
        </w:numPr>
        <w:bidi/>
        <w:spacing w:after="0" w:line="259" w:lineRule="auto"/>
        <w:contextualSpacing w:val="0"/>
        <w:jc w:val="both"/>
        <w:rPr>
          <w:rFonts w:cs="Arial"/>
          <w:color w:val="000000"/>
          <w:shd w:val="clear" w:color="auto" w:fill="FFFFFF"/>
        </w:rPr>
      </w:pPr>
      <w:r>
        <w:rPr>
          <w:rFonts w:cs="Arial" w:hint="cs"/>
          <w:color w:val="000000"/>
          <w:shd w:val="clear" w:color="auto" w:fill="FFFFFF"/>
          <w:rtl/>
        </w:rPr>
        <w:t>التدابير المتخذة أو المقترحة من أجل تلافي النقائص المسجلة.</w:t>
      </w:r>
    </w:p>
    <w:p w:rsidR="005C64D1" w:rsidRDefault="005C64D1" w:rsidP="005C64D1">
      <w:pPr>
        <w:bidi/>
        <w:spacing w:before="0" w:after="0" w:line="259" w:lineRule="auto"/>
        <w:ind w:left="283"/>
        <w:contextualSpacing w:val="0"/>
        <w:jc w:val="both"/>
        <w:rPr>
          <w:rFonts w:cs="Arial"/>
          <w:color w:val="000000"/>
          <w:shd w:val="clear" w:color="auto" w:fill="FFFFFF"/>
          <w:rtl/>
        </w:rPr>
      </w:pPr>
    </w:p>
    <w:p w:rsidR="005C64D1" w:rsidRDefault="005C64D1" w:rsidP="005C64D1">
      <w:pPr>
        <w:bidi/>
        <w:spacing w:before="0" w:after="0" w:line="259" w:lineRule="auto"/>
        <w:ind w:left="283"/>
        <w:contextualSpacing w:val="0"/>
        <w:jc w:val="both"/>
        <w:rPr>
          <w:rFonts w:cs="Arial"/>
          <w:color w:val="000000"/>
          <w:shd w:val="clear" w:color="auto" w:fill="FFFFFF"/>
          <w:rtl/>
        </w:rPr>
      </w:pPr>
      <w:r>
        <w:rPr>
          <w:rFonts w:cs="Arial" w:hint="cs"/>
          <w:color w:val="000000"/>
          <w:shd w:val="clear" w:color="auto" w:fill="FFFFFF"/>
          <w:rtl/>
        </w:rPr>
        <w:t>ونظرا لما يكتسيه هذا الموضوع من أهمية، يرجى الحرص على تطبيق مقتضيات هذا المنشور بكل عناية ودقة.</w:t>
      </w:r>
    </w:p>
    <w:p w:rsidR="005C64D1" w:rsidRDefault="005C64D1" w:rsidP="005C64D1">
      <w:pPr>
        <w:bidi/>
        <w:spacing w:before="0" w:after="0" w:line="259" w:lineRule="auto"/>
        <w:ind w:left="283"/>
        <w:contextualSpacing w:val="0"/>
        <w:jc w:val="both"/>
        <w:rPr>
          <w:rFonts w:cs="Arial"/>
          <w:color w:val="000000"/>
          <w:shd w:val="clear" w:color="auto" w:fill="FFFFFF"/>
          <w:rtl/>
        </w:rPr>
      </w:pPr>
    </w:p>
    <w:p w:rsidR="00CD6EFF" w:rsidRPr="005C64D1" w:rsidRDefault="005C64D1" w:rsidP="005C64D1">
      <w:pPr>
        <w:bidi/>
        <w:spacing w:before="0" w:after="0" w:line="259" w:lineRule="auto"/>
        <w:ind w:left="283"/>
        <w:contextualSpacing w:val="0"/>
        <w:jc w:val="both"/>
        <w:rPr>
          <w:rFonts w:cs="Arial"/>
          <w:color w:val="000000"/>
          <w:shd w:val="clear" w:color="auto" w:fill="FFFFFF"/>
        </w:rPr>
      </w:pPr>
      <w:r>
        <w:rPr>
          <w:rFonts w:cs="Arial" w:hint="cs"/>
          <w:color w:val="000000"/>
          <w:shd w:val="clear" w:color="auto" w:fill="FFFFFF"/>
          <w:rtl/>
        </w:rPr>
        <w:t>والسلام.</w:t>
      </w:r>
    </w:p>
    <w:sectPr w:rsidR="00CD6EFF" w:rsidRPr="005C64D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5B" w:rsidRDefault="0089575B">
      <w:pPr>
        <w:spacing w:before="0" w:after="0" w:line="240" w:lineRule="auto"/>
      </w:pPr>
      <w:r>
        <w:separator/>
      </w:r>
    </w:p>
  </w:endnote>
  <w:endnote w:type="continuationSeparator" w:id="0">
    <w:p w:rsidR="0089575B" w:rsidRDefault="008957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p w:rsidR="00A34AD0" w:rsidRDefault="005C64D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p w:rsidR="00A34AD0" w:rsidRDefault="005C64D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5C64D1">
                            <w:rPr>
                              <w:noProof/>
                              <w:sz w:val="18"/>
                              <w:szCs w:val="18"/>
                            </w:rPr>
                            <w:t>1</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5C64D1">
                            <w:rPr>
                              <w:noProof/>
                              <w:sz w:val="18"/>
                              <w:szCs w:val="18"/>
                            </w:rPr>
                            <w:t>1</w:t>
                          </w:r>
                          <w:r w:rsidRPr="001E5DD5">
                            <w:rPr>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5C64D1">
                      <w:rPr>
                        <w:noProof/>
                        <w:sz w:val="18"/>
                        <w:szCs w:val="18"/>
                      </w:rPr>
                      <w:t>1</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5C64D1">
                      <w:rPr>
                        <w:noProof/>
                        <w:sz w:val="18"/>
                        <w:szCs w:val="18"/>
                      </w:rPr>
                      <w:t>1</w:t>
                    </w:r>
                    <w:r w:rsidRPr="001E5DD5">
                      <w:rPr>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5B" w:rsidRDefault="0089575B">
      <w:pPr>
        <w:spacing w:before="0" w:after="0" w:line="240" w:lineRule="auto"/>
      </w:pPr>
      <w:r>
        <w:separator/>
      </w:r>
    </w:p>
  </w:footnote>
  <w:footnote w:type="continuationSeparator" w:id="0">
    <w:p w:rsidR="0089575B" w:rsidRDefault="008957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5C64D1"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5C64D1"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5C64D1"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5C64D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5C64D1"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5C64D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4908"/>
    <w:multiLevelType w:val="hybridMultilevel"/>
    <w:tmpl w:val="F82EC608"/>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1308443B"/>
    <w:multiLevelType w:val="hybridMultilevel"/>
    <w:tmpl w:val="8CA65BBA"/>
    <w:lvl w:ilvl="0" w:tplc="5232AA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2BC14C5C"/>
    <w:multiLevelType w:val="hybridMultilevel"/>
    <w:tmpl w:val="B06E0C3C"/>
    <w:lvl w:ilvl="0" w:tplc="9194722E">
      <w:start w:val="1"/>
      <w:numFmt w:val="bullet"/>
      <w:lvlText w:val=""/>
      <w:lvlJc w:val="left"/>
      <w:pPr>
        <w:ind w:left="643" w:hanging="360"/>
      </w:pPr>
      <w:rPr>
        <w:rFonts w:ascii="Symbol" w:eastAsiaTheme="minorHAnsi" w:hAnsi="Symbo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EFB0580"/>
    <w:multiLevelType w:val="hybridMultilevel"/>
    <w:tmpl w:val="438E2BBA"/>
    <w:lvl w:ilvl="0" w:tplc="4FB2D9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60D7939"/>
    <w:multiLevelType w:val="hybridMultilevel"/>
    <w:tmpl w:val="4A089BB2"/>
    <w:lvl w:ilvl="0" w:tplc="7A5CB54A">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5B8E23A2"/>
    <w:multiLevelType w:val="hybridMultilevel"/>
    <w:tmpl w:val="661836C4"/>
    <w:lvl w:ilvl="0" w:tplc="4FB2D9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73815C7"/>
    <w:multiLevelType w:val="hybridMultilevel"/>
    <w:tmpl w:val="C4DEF946"/>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67765BDF"/>
    <w:multiLevelType w:val="hybridMultilevel"/>
    <w:tmpl w:val="616490AC"/>
    <w:lvl w:ilvl="0" w:tplc="B24A4A98">
      <w:start w:val="1"/>
      <w:numFmt w:val="arabicAlpha"/>
      <w:lvlText w:val="%1-"/>
      <w:lvlJc w:val="left"/>
      <w:pPr>
        <w:ind w:left="1003" w:hanging="360"/>
      </w:pPr>
      <w:rPr>
        <w:rFonts w:ascii="Arial" w:eastAsiaTheme="minorHAnsi"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15:restartNumberingAfterBreak="0">
    <w:nsid w:val="78FC3637"/>
    <w:multiLevelType w:val="hybridMultilevel"/>
    <w:tmpl w:val="3A043D32"/>
    <w:lvl w:ilvl="0" w:tplc="78FCD266">
      <w:start w:val="1"/>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7"/>
  </w:num>
  <w:num w:numId="2">
    <w:abstractNumId w:val="8"/>
  </w:num>
  <w:num w:numId="3">
    <w:abstractNumId w:val="4"/>
  </w:num>
  <w:num w:numId="4">
    <w:abstractNumId w:val="10"/>
  </w:num>
  <w:num w:numId="5">
    <w:abstractNumId w:val="3"/>
  </w:num>
  <w:num w:numId="6">
    <w:abstractNumId w:val="9"/>
  </w:num>
  <w:num w:numId="7">
    <w:abstractNumId w:val="6"/>
  </w:num>
  <w:num w:numId="8">
    <w:abstractNumId w:val="1"/>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E"/>
    <w:rsid w:val="00075DC9"/>
    <w:rsid w:val="00076D7C"/>
    <w:rsid w:val="000E5802"/>
    <w:rsid w:val="00182C27"/>
    <w:rsid w:val="004F2FE7"/>
    <w:rsid w:val="00593000"/>
    <w:rsid w:val="005A086C"/>
    <w:rsid w:val="005A6D96"/>
    <w:rsid w:val="005C64D1"/>
    <w:rsid w:val="006E651F"/>
    <w:rsid w:val="00716664"/>
    <w:rsid w:val="007943CF"/>
    <w:rsid w:val="0080686A"/>
    <w:rsid w:val="0089575B"/>
    <w:rsid w:val="008D0D57"/>
    <w:rsid w:val="009B4ED9"/>
    <w:rsid w:val="009E6F80"/>
    <w:rsid w:val="00A050EA"/>
    <w:rsid w:val="00A93E6A"/>
    <w:rsid w:val="00AA7E95"/>
    <w:rsid w:val="00AF5773"/>
    <w:rsid w:val="00BC16DA"/>
    <w:rsid w:val="00C132FD"/>
    <w:rsid w:val="00C547E8"/>
    <w:rsid w:val="00CD6EFF"/>
    <w:rsid w:val="00CF74DC"/>
    <w:rsid w:val="00D37C1F"/>
    <w:rsid w:val="00D72FDE"/>
    <w:rsid w:val="00EA07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347D4"/>
  <w15:chartTrackingRefBased/>
  <w15:docId w15:val="{1733811C-5606-45F6-89B3-47808C3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802"/>
    <w:pPr>
      <w:spacing w:before="120" w:after="240" w:line="276" w:lineRule="auto"/>
      <w:contextualSpacing/>
    </w:pPr>
    <w:rPr>
      <w:rFonts w:ascii="Arial" w:eastAsiaTheme="minorHAnsi" w:hAnsi="Arial" w:cstheme="minorBid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PieddepageCar">
    <w:name w:val="Pied de page Car"/>
    <w:basedOn w:val="Policepardfaut"/>
    <w:link w:val="Pieddepage"/>
    <w:uiPriority w:val="99"/>
    <w:semiHidden/>
    <w:rsid w:val="007943CF"/>
  </w:style>
  <w:style w:type="table" w:styleId="Grilledutableau">
    <w:name w:val="Table Grid"/>
    <w:basedOn w:val="TableauNormal"/>
    <w:uiPriority w:val="39"/>
    <w:rsid w:val="00076D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6E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1571-E4AF-4619-AC15-D598BE77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121</Words>
  <Characters>669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2</cp:revision>
  <cp:lastPrinted>2018-01-08T08:56:00Z</cp:lastPrinted>
  <dcterms:created xsi:type="dcterms:W3CDTF">2018-01-08T09:57:00Z</dcterms:created>
  <dcterms:modified xsi:type="dcterms:W3CDTF">2018-01-08T09:57:00Z</dcterms:modified>
</cp:coreProperties>
</file>