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C2541" w14:textId="77777777" w:rsidR="0079209D" w:rsidRDefault="0079209D" w:rsidP="00901252">
      <w:pPr>
        <w:bidi/>
        <w:spacing w:after="0"/>
        <w:jc w:val="both"/>
        <w:rPr>
          <w:rFonts w:ascii="Arial" w:hAnsi="Arial" w:cs="Arial"/>
          <w:b/>
          <w:bCs/>
          <w:sz w:val="24"/>
          <w:szCs w:val="24"/>
          <w:lang w:val="en-US"/>
        </w:rPr>
      </w:pPr>
    </w:p>
    <w:p w14:paraId="3D526FC9" w14:textId="77777777" w:rsidR="0079209D" w:rsidRDefault="00901252" w:rsidP="0079209D">
      <w:pPr>
        <w:bidi/>
        <w:spacing w:before="100" w:beforeAutospacing="1" w:after="0"/>
        <w:ind w:left="283"/>
        <w:jc w:val="both"/>
        <w:rPr>
          <w:rFonts w:ascii="Arial" w:hAnsi="Arial" w:cs="Arial"/>
          <w:b/>
          <w:bCs/>
          <w:sz w:val="24"/>
          <w:szCs w:val="24"/>
          <w:lang w:val="en-US"/>
        </w:rPr>
      </w:pPr>
      <w:proofErr w:type="gramStart"/>
      <w:r w:rsidRPr="00901252">
        <w:rPr>
          <w:rFonts w:ascii="Arial" w:hAnsi="Arial" w:cs="Arial"/>
          <w:b/>
          <w:bCs/>
          <w:sz w:val="24"/>
          <w:szCs w:val="24"/>
          <w:rtl/>
          <w:lang w:val="en-US"/>
        </w:rPr>
        <w:t>قرار</w:t>
      </w:r>
      <w:proofErr w:type="gramEnd"/>
      <w:r w:rsidRPr="00901252">
        <w:rPr>
          <w:rFonts w:ascii="Arial" w:hAnsi="Arial" w:cs="Arial"/>
          <w:b/>
          <w:bCs/>
          <w:sz w:val="24"/>
          <w:szCs w:val="24"/>
          <w:rtl/>
          <w:lang w:val="en-US"/>
        </w:rPr>
        <w:t xml:space="preserve"> جمهوري عدد 298 لسنة 2013 مؤرخ في 25 أكتوبر 2013 يتعلق بإعلان منطقة عمليات عسكرية</w:t>
      </w:r>
    </w:p>
    <w:p w14:paraId="72C4889B"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rtl/>
          <w:lang w:val="en-US"/>
        </w:rPr>
        <w:t>إن رئيس الجمهورية،</w:t>
      </w:r>
    </w:p>
    <w:p w14:paraId="36AABFC1"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rtl/>
          <w:lang w:val="en-US"/>
        </w:rPr>
        <w:t>بعد الاطلاع على القانون التأسيسي عدد 6 لسنة 2011 المؤرخ في 16 ديسمبر 2011 المتعلق بالتنظيم المؤقت للسلط العمومية، وخاصة الفقرة الفرعية (7) من الفصل 11 منه،</w:t>
      </w:r>
    </w:p>
    <w:p w14:paraId="5D6DE248"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rtl/>
          <w:lang w:val="en-US"/>
        </w:rPr>
        <w:t>وعلى القانون عدد 4 لسنة 1969 المؤرخ في 24 جانفي 1969 المتعلق بالاجتماعات العامة والمواكب والاستعراضات والتجمهر،</w:t>
      </w:r>
    </w:p>
    <w:p w14:paraId="062B6496"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rtl/>
          <w:lang w:val="en-US"/>
        </w:rPr>
        <w:t xml:space="preserve">وعلى الأمر عدد 671 </w:t>
      </w:r>
      <w:proofErr w:type="gramStart"/>
      <w:r w:rsidRPr="00901252">
        <w:rPr>
          <w:rFonts w:ascii="Arial" w:hAnsi="Arial" w:cs="Arial"/>
          <w:rtl/>
          <w:lang w:val="en-US"/>
        </w:rPr>
        <w:t>لسنة</w:t>
      </w:r>
      <w:proofErr w:type="gramEnd"/>
      <w:r w:rsidRPr="00901252">
        <w:rPr>
          <w:rFonts w:ascii="Arial" w:hAnsi="Arial" w:cs="Arial"/>
          <w:rtl/>
          <w:lang w:val="en-US"/>
        </w:rPr>
        <w:t xml:space="preserve"> 1975 المؤرخ في 25 سبتمبر 1975 المتعلق بضبط مشمولات وزير الدفاع الوطني،</w:t>
      </w:r>
    </w:p>
    <w:p w14:paraId="3DCE08FA"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rtl/>
          <w:lang w:val="en-US"/>
        </w:rPr>
        <w:t>وعلى الأمر عدد 1195 لسنة 1990 المؤرخ في 6 جويلية 1990 المتعلق بالمجلس الوطني للأمن،</w:t>
      </w:r>
    </w:p>
    <w:p w14:paraId="6F04DB63"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rtl/>
          <w:lang w:val="en-US"/>
        </w:rPr>
        <w:t xml:space="preserve">وعلى مداولة </w:t>
      </w:r>
      <w:proofErr w:type="gramStart"/>
      <w:r w:rsidRPr="00901252">
        <w:rPr>
          <w:rFonts w:ascii="Arial" w:hAnsi="Arial" w:cs="Arial"/>
          <w:rtl/>
          <w:lang w:val="en-US"/>
        </w:rPr>
        <w:t>المجلس</w:t>
      </w:r>
      <w:proofErr w:type="gramEnd"/>
      <w:r w:rsidRPr="00901252">
        <w:rPr>
          <w:rFonts w:ascii="Arial" w:hAnsi="Arial" w:cs="Arial"/>
          <w:rtl/>
          <w:lang w:val="en-US"/>
        </w:rPr>
        <w:t xml:space="preserve"> الوطني للأمن بتاريخ 24 أكتوبر 2013،</w:t>
      </w:r>
    </w:p>
    <w:p w14:paraId="52208598"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rtl/>
          <w:lang w:val="en-US"/>
        </w:rPr>
        <w:t>وعلى رأي رئيس الحكومة ورئيس المجلس الوطني التأسيسي وعدم معارضتهما في ذلك</w:t>
      </w:r>
      <w:r w:rsidRPr="00901252">
        <w:rPr>
          <w:rFonts w:ascii="Arial" w:hAnsi="Arial" w:cs="Arial"/>
          <w:lang w:val="en-US"/>
        </w:rPr>
        <w:t>.</w:t>
      </w:r>
    </w:p>
    <w:p w14:paraId="738CF817"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rtl/>
          <w:lang w:val="en-US"/>
        </w:rPr>
        <w:t>يصدر القرار الجمهوري الآتي نصه</w:t>
      </w:r>
      <w:r w:rsidRPr="00901252">
        <w:rPr>
          <w:rFonts w:ascii="Arial" w:hAnsi="Arial" w:cs="Arial"/>
          <w:lang w:val="en-US"/>
        </w:rPr>
        <w:t xml:space="preserve"> :</w:t>
      </w:r>
    </w:p>
    <w:p w14:paraId="78DFC30D"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b/>
          <w:bCs/>
          <w:rtl/>
          <w:lang w:val="en-US"/>
        </w:rPr>
        <w:t>الفصل الأول</w:t>
      </w:r>
      <w:r>
        <w:rPr>
          <w:rFonts w:ascii="Arial" w:hAnsi="Arial" w:cs="Arial"/>
          <w:lang w:val="en-US"/>
        </w:rPr>
        <w:t xml:space="preserve"> </w:t>
      </w:r>
      <w:r w:rsidRPr="00901252">
        <w:rPr>
          <w:rFonts w:ascii="Arial" w:hAnsi="Arial" w:cs="Arial"/>
          <w:b/>
          <w:bCs/>
          <w:lang w:val="en-US"/>
        </w:rPr>
        <w:t>–</w:t>
      </w:r>
      <w:r>
        <w:rPr>
          <w:rFonts w:ascii="Arial" w:hAnsi="Arial" w:cs="Arial"/>
          <w:lang w:val="en-US"/>
        </w:rPr>
        <w:t xml:space="preserve"> </w:t>
      </w:r>
      <w:r w:rsidRPr="00901252">
        <w:rPr>
          <w:rFonts w:ascii="Arial" w:hAnsi="Arial" w:cs="Arial"/>
          <w:rtl/>
          <w:lang w:val="en-US"/>
        </w:rPr>
        <w:t xml:space="preserve">تعلن مناطق بئر الحفي وسيدي علي </w:t>
      </w:r>
      <w:proofErr w:type="spellStart"/>
      <w:r w:rsidRPr="00901252">
        <w:rPr>
          <w:rFonts w:ascii="Arial" w:hAnsi="Arial" w:cs="Arial"/>
          <w:rtl/>
          <w:lang w:val="en-US"/>
        </w:rPr>
        <w:t>بنعون</w:t>
      </w:r>
      <w:proofErr w:type="spellEnd"/>
      <w:r w:rsidRPr="00901252">
        <w:rPr>
          <w:rFonts w:ascii="Arial" w:hAnsi="Arial" w:cs="Arial"/>
          <w:rtl/>
          <w:lang w:val="en-US"/>
        </w:rPr>
        <w:t xml:space="preserve"> وسيدي عيش وجبل الطوال وجبل </w:t>
      </w:r>
      <w:proofErr w:type="spellStart"/>
      <w:r w:rsidRPr="00901252">
        <w:rPr>
          <w:rFonts w:ascii="Arial" w:hAnsi="Arial" w:cs="Arial"/>
          <w:rtl/>
          <w:lang w:val="en-US"/>
        </w:rPr>
        <w:t>أودادة</w:t>
      </w:r>
      <w:proofErr w:type="spellEnd"/>
      <w:r w:rsidRPr="00901252">
        <w:rPr>
          <w:rFonts w:ascii="Arial" w:hAnsi="Arial" w:cs="Arial"/>
          <w:rtl/>
          <w:lang w:val="en-US"/>
        </w:rPr>
        <w:t xml:space="preserve"> وجبل السلوم وجبل </w:t>
      </w:r>
      <w:proofErr w:type="spellStart"/>
      <w:r w:rsidRPr="00901252">
        <w:rPr>
          <w:rFonts w:ascii="Arial" w:hAnsi="Arial" w:cs="Arial"/>
          <w:rtl/>
          <w:lang w:val="en-US"/>
        </w:rPr>
        <w:t>الغرادق</w:t>
      </w:r>
      <w:proofErr w:type="spellEnd"/>
      <w:r w:rsidRPr="00901252">
        <w:rPr>
          <w:rFonts w:ascii="Arial" w:hAnsi="Arial" w:cs="Arial"/>
          <w:rtl/>
          <w:lang w:val="en-US"/>
        </w:rPr>
        <w:t xml:space="preserve"> وجبل </w:t>
      </w:r>
      <w:proofErr w:type="spellStart"/>
      <w:r w:rsidRPr="00901252">
        <w:rPr>
          <w:rFonts w:ascii="Arial" w:hAnsi="Arial" w:cs="Arial"/>
          <w:rtl/>
          <w:lang w:val="en-US"/>
        </w:rPr>
        <w:t>الكمايم</w:t>
      </w:r>
      <w:proofErr w:type="spellEnd"/>
      <w:r w:rsidRPr="00901252">
        <w:rPr>
          <w:rFonts w:ascii="Arial" w:hAnsi="Arial" w:cs="Arial"/>
          <w:rtl/>
          <w:lang w:val="en-US"/>
        </w:rPr>
        <w:t xml:space="preserve"> وجبل </w:t>
      </w:r>
      <w:proofErr w:type="spellStart"/>
      <w:r w:rsidRPr="00901252">
        <w:rPr>
          <w:rFonts w:ascii="Arial" w:hAnsi="Arial" w:cs="Arial"/>
          <w:rtl/>
          <w:lang w:val="en-US"/>
        </w:rPr>
        <w:t>الرخمات</w:t>
      </w:r>
      <w:proofErr w:type="spellEnd"/>
      <w:r w:rsidRPr="00901252">
        <w:rPr>
          <w:rFonts w:ascii="Arial" w:hAnsi="Arial" w:cs="Arial"/>
          <w:rtl/>
          <w:lang w:val="en-US"/>
        </w:rPr>
        <w:t xml:space="preserve"> والمناطق المتاخمة لها منطقة عمليات عسكرية ابتداء من تاريخ هذا القرار الجمهوري وحتى نهاية العمليات وفق الإحداثيات المضمنة بالخريطة المصاحبة</w:t>
      </w:r>
      <w:r w:rsidRPr="00901252">
        <w:rPr>
          <w:rFonts w:ascii="Arial" w:hAnsi="Arial" w:cs="Arial"/>
          <w:lang w:val="en-US"/>
        </w:rPr>
        <w:t>.</w:t>
      </w:r>
    </w:p>
    <w:p w14:paraId="18DF0D80"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b/>
          <w:bCs/>
          <w:rtl/>
          <w:lang w:val="en-US"/>
        </w:rPr>
        <w:t>الفصل 2</w:t>
      </w:r>
      <w:r>
        <w:rPr>
          <w:rFonts w:ascii="Arial" w:hAnsi="Arial" w:cs="Arial"/>
          <w:lang w:val="en-US"/>
        </w:rPr>
        <w:t xml:space="preserve"> </w:t>
      </w:r>
      <w:r w:rsidRPr="00901252">
        <w:rPr>
          <w:rFonts w:ascii="Arial" w:hAnsi="Arial" w:cs="Arial"/>
          <w:b/>
          <w:bCs/>
          <w:lang w:val="en-US"/>
        </w:rPr>
        <w:t>–</w:t>
      </w:r>
      <w:r>
        <w:rPr>
          <w:rFonts w:ascii="Arial" w:hAnsi="Arial" w:cs="Arial"/>
          <w:lang w:val="en-US"/>
        </w:rPr>
        <w:t xml:space="preserve"> </w:t>
      </w:r>
      <w:r w:rsidRPr="00901252">
        <w:rPr>
          <w:rFonts w:ascii="Arial" w:hAnsi="Arial" w:cs="Arial"/>
          <w:rtl/>
          <w:lang w:val="en-US"/>
        </w:rPr>
        <w:t xml:space="preserve"> يحتفظ أعوان قوات الأمن الداخلي وغيرهم من</w:t>
      </w:r>
      <w:bookmarkStart w:id="0" w:name="_GoBack"/>
      <w:bookmarkEnd w:id="0"/>
      <w:r w:rsidRPr="00901252">
        <w:rPr>
          <w:rFonts w:ascii="Arial" w:hAnsi="Arial" w:cs="Arial"/>
          <w:rtl/>
          <w:lang w:val="en-US"/>
        </w:rPr>
        <w:t xml:space="preserve"> مأموري الضابطة العدلية، كل فيما يخصه، داخل منطقة العمليات العسكرية المنصوص عليها بالفصل الأول من هذا القرار الجمهوري، بصلاحيات الضابطة العدلية المسندة لهم قانونا</w:t>
      </w:r>
      <w:r w:rsidRPr="00901252">
        <w:rPr>
          <w:rFonts w:ascii="Arial" w:hAnsi="Arial" w:cs="Arial"/>
          <w:lang w:val="en-US"/>
        </w:rPr>
        <w:t>.</w:t>
      </w:r>
    </w:p>
    <w:p w14:paraId="7CD82EDB"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b/>
          <w:bCs/>
          <w:rtl/>
          <w:lang w:val="en-US"/>
        </w:rPr>
        <w:t>الفصل 3</w:t>
      </w:r>
      <w:r>
        <w:rPr>
          <w:rFonts w:ascii="Arial" w:hAnsi="Arial" w:cs="Arial"/>
          <w:lang w:val="en-US"/>
        </w:rPr>
        <w:t xml:space="preserve"> </w:t>
      </w:r>
      <w:r w:rsidRPr="00901252">
        <w:rPr>
          <w:rFonts w:ascii="Arial" w:hAnsi="Arial" w:cs="Arial"/>
          <w:b/>
          <w:bCs/>
          <w:lang w:val="en-US"/>
        </w:rPr>
        <w:t>–</w:t>
      </w:r>
      <w:r>
        <w:rPr>
          <w:rFonts w:ascii="Arial" w:hAnsi="Arial" w:cs="Arial"/>
          <w:lang w:val="en-US"/>
        </w:rPr>
        <w:t xml:space="preserve"> </w:t>
      </w:r>
      <w:r w:rsidRPr="00901252">
        <w:rPr>
          <w:rFonts w:ascii="Arial" w:hAnsi="Arial" w:cs="Arial"/>
          <w:rtl/>
          <w:lang w:val="en-US"/>
        </w:rPr>
        <w:t>تخضع قوات الأمن الداخلي المتواجدة داخل منطقة العمليات العسكرية المنصوص عليها بالفصل الأول من هذا القرار الجمهوري إلى القيادة العسكرية التي تتولى تنسيق جميع المهام الميدانية والدوريات والتنقلات داخل المنطقة</w:t>
      </w:r>
      <w:r w:rsidRPr="00901252">
        <w:rPr>
          <w:rFonts w:ascii="Arial" w:hAnsi="Arial" w:cs="Arial"/>
          <w:lang w:val="en-US"/>
        </w:rPr>
        <w:t>.</w:t>
      </w:r>
    </w:p>
    <w:p w14:paraId="1095575E"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b/>
          <w:bCs/>
          <w:rtl/>
          <w:lang w:val="en-US"/>
        </w:rPr>
        <w:t>الفصل 4</w:t>
      </w:r>
      <w:r w:rsidRPr="00901252">
        <w:rPr>
          <w:rFonts w:ascii="Arial" w:hAnsi="Arial" w:cs="Arial"/>
          <w:b/>
          <w:bCs/>
          <w:lang w:val="en-US"/>
        </w:rPr>
        <w:t xml:space="preserve"> –</w:t>
      </w:r>
      <w:r>
        <w:rPr>
          <w:rFonts w:ascii="Arial" w:hAnsi="Arial" w:cs="Arial"/>
          <w:lang w:val="en-US"/>
        </w:rPr>
        <w:t xml:space="preserve"> </w:t>
      </w:r>
      <w:r w:rsidRPr="00901252">
        <w:rPr>
          <w:rFonts w:ascii="Arial" w:hAnsi="Arial" w:cs="Arial"/>
          <w:rtl/>
          <w:lang w:val="en-US"/>
        </w:rPr>
        <w:t xml:space="preserve">تتم إجراءات المراقبة والتفتيش بالنقاط القارة أو الدوريات المتنقلة وكلما دعت الضرورة للملاحقة والمداهمة وفق قرارات تنظيمية أو تعليمات </w:t>
      </w:r>
      <w:proofErr w:type="spellStart"/>
      <w:r w:rsidRPr="00901252">
        <w:rPr>
          <w:rFonts w:ascii="Arial" w:hAnsi="Arial" w:cs="Arial"/>
          <w:rtl/>
          <w:lang w:val="en-US"/>
        </w:rPr>
        <w:t>عملياتية</w:t>
      </w:r>
      <w:proofErr w:type="spellEnd"/>
      <w:r w:rsidRPr="00901252">
        <w:rPr>
          <w:rFonts w:ascii="Arial" w:hAnsi="Arial" w:cs="Arial"/>
          <w:rtl/>
          <w:lang w:val="en-US"/>
        </w:rPr>
        <w:t xml:space="preserve"> صادرة عن السلطة العسكرية المختصة</w:t>
      </w:r>
      <w:r w:rsidRPr="00901252">
        <w:rPr>
          <w:rFonts w:ascii="Arial" w:hAnsi="Arial" w:cs="Arial"/>
          <w:lang w:val="en-US"/>
        </w:rPr>
        <w:t>.</w:t>
      </w:r>
    </w:p>
    <w:p w14:paraId="6E1461BA" w14:textId="77777777" w:rsidR="0079209D" w:rsidRDefault="00901252" w:rsidP="0079209D">
      <w:pPr>
        <w:bidi/>
        <w:spacing w:before="100" w:beforeAutospacing="1" w:after="0"/>
        <w:ind w:left="283"/>
        <w:jc w:val="both"/>
        <w:rPr>
          <w:rFonts w:ascii="Arial" w:hAnsi="Arial" w:cs="Arial"/>
          <w:lang w:val="en-US"/>
        </w:rPr>
      </w:pPr>
      <w:r w:rsidRPr="00901252">
        <w:rPr>
          <w:rFonts w:ascii="Arial" w:hAnsi="Arial" w:cs="Arial"/>
          <w:b/>
          <w:bCs/>
          <w:rtl/>
          <w:lang w:val="en-US"/>
        </w:rPr>
        <w:t>الفصل 5</w:t>
      </w:r>
      <w:r>
        <w:rPr>
          <w:rFonts w:ascii="Arial" w:hAnsi="Arial" w:cs="Arial"/>
          <w:lang w:val="en-US"/>
        </w:rPr>
        <w:t xml:space="preserve"> </w:t>
      </w:r>
      <w:r w:rsidRPr="00901252">
        <w:rPr>
          <w:rFonts w:ascii="Arial" w:hAnsi="Arial" w:cs="Arial"/>
          <w:b/>
          <w:bCs/>
          <w:lang w:val="en-US"/>
        </w:rPr>
        <w:t>–</w:t>
      </w:r>
      <w:r>
        <w:rPr>
          <w:rFonts w:ascii="Arial" w:hAnsi="Arial" w:cs="Arial"/>
          <w:lang w:val="en-US"/>
        </w:rPr>
        <w:t xml:space="preserve"> </w:t>
      </w:r>
      <w:r w:rsidRPr="00901252">
        <w:rPr>
          <w:rFonts w:ascii="Arial" w:hAnsi="Arial" w:cs="Arial"/>
          <w:rtl/>
          <w:lang w:val="en-US"/>
        </w:rPr>
        <w:t>على كل شخص يتواجد داخل منطقة العمليات العسكرية أن يمتثل للأمر القاضي بالتوقف وأن يذعن للتفتيش كلما طلب منه ذلك من قبل أفراد الدوريات التي لها استعمال جميع الوسائل وآليات العمل لإجباره على التوقف أو الخضوع للتفتيش في صورة عدم الامتثال</w:t>
      </w:r>
      <w:r w:rsidR="0079209D">
        <w:rPr>
          <w:rFonts w:ascii="Arial" w:hAnsi="Arial" w:cs="Arial"/>
          <w:lang w:val="en-US"/>
        </w:rPr>
        <w:t>.</w:t>
      </w:r>
    </w:p>
    <w:p w14:paraId="5B7E472B"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b/>
          <w:bCs/>
          <w:rtl/>
          <w:lang w:val="en-US"/>
        </w:rPr>
        <w:t>الفصل 6</w:t>
      </w:r>
      <w:r>
        <w:rPr>
          <w:rFonts w:ascii="Arial" w:hAnsi="Arial" w:cs="Arial"/>
          <w:lang w:val="en-US"/>
        </w:rPr>
        <w:t xml:space="preserve"> </w:t>
      </w:r>
      <w:r w:rsidRPr="00901252">
        <w:rPr>
          <w:rFonts w:ascii="Arial" w:hAnsi="Arial" w:cs="Arial"/>
          <w:b/>
          <w:bCs/>
          <w:lang w:val="en-US"/>
        </w:rPr>
        <w:t>–</w:t>
      </w:r>
      <w:r>
        <w:rPr>
          <w:rFonts w:ascii="Arial" w:hAnsi="Arial" w:cs="Arial"/>
          <w:lang w:val="en-US"/>
        </w:rPr>
        <w:t xml:space="preserve"> </w:t>
      </w:r>
      <w:r w:rsidRPr="00901252">
        <w:rPr>
          <w:rFonts w:ascii="Arial" w:hAnsi="Arial" w:cs="Arial"/>
          <w:rtl/>
          <w:lang w:val="en-US"/>
        </w:rPr>
        <w:t>تتم مطاردة المجموعات الإرهابية المسلحة والاشتباك معها بكل الوسائل المتاحة للقوة المكلفة بالمهمة ما دام العمل العدائي مستمرا أو النية العدائية مستمرة إلى حين زوال الاعتداء أو التهديد</w:t>
      </w:r>
      <w:r w:rsidRPr="00901252">
        <w:rPr>
          <w:rFonts w:ascii="Arial" w:hAnsi="Arial" w:cs="Arial"/>
          <w:lang w:val="en-US"/>
        </w:rPr>
        <w:t>.</w:t>
      </w:r>
    </w:p>
    <w:p w14:paraId="6EC96959"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b/>
          <w:bCs/>
          <w:rtl/>
          <w:lang w:val="en-US"/>
        </w:rPr>
        <w:t>الفصل 7</w:t>
      </w:r>
      <w:r w:rsidRPr="00901252">
        <w:rPr>
          <w:rFonts w:ascii="Arial" w:hAnsi="Arial" w:cs="Arial"/>
          <w:b/>
          <w:bCs/>
          <w:lang w:val="en-US"/>
        </w:rPr>
        <w:t xml:space="preserve"> –</w:t>
      </w:r>
      <w:r w:rsidRPr="00901252">
        <w:rPr>
          <w:rFonts w:ascii="Arial" w:hAnsi="Arial" w:cs="Arial"/>
          <w:lang w:val="en-US"/>
        </w:rPr>
        <w:t xml:space="preserve"> </w:t>
      </w:r>
      <w:r w:rsidRPr="00901252">
        <w:rPr>
          <w:rFonts w:ascii="Arial" w:hAnsi="Arial" w:cs="Arial"/>
          <w:rtl/>
          <w:lang w:val="en-US"/>
        </w:rPr>
        <w:t>يخول للوحدات العسكرية والأمنية استعمال كل الوسائل المتاحة للقوة، لمداهمة وتفتيش الأماكن والمنازل والمحلات المسكونة أو غير المسكونة التي تأوي عناصر إرهابية أو تحتوي على أسلحة أو مواد محظورة أو التي يشتبه في إيوائها أو احتوائها لها، بناء على معلومات استخباراتية أو عند قيام هذه العناصر الإرهابية باعتداء مسلح أو عمليات تخريب أو التهديد بذلك</w:t>
      </w:r>
      <w:r w:rsidRPr="00901252">
        <w:rPr>
          <w:rFonts w:ascii="Arial" w:hAnsi="Arial" w:cs="Arial"/>
          <w:lang w:val="en-US"/>
        </w:rPr>
        <w:t>.</w:t>
      </w:r>
    </w:p>
    <w:p w14:paraId="073DFE74" w14:textId="77777777" w:rsidR="0079209D" w:rsidRDefault="00901252" w:rsidP="0079209D">
      <w:pPr>
        <w:bidi/>
        <w:spacing w:before="100" w:beforeAutospacing="1" w:after="0"/>
        <w:ind w:left="283"/>
        <w:jc w:val="both"/>
        <w:rPr>
          <w:rFonts w:ascii="Arial" w:hAnsi="Arial" w:cs="Arial"/>
          <w:b/>
          <w:bCs/>
          <w:sz w:val="24"/>
          <w:szCs w:val="24"/>
          <w:lang w:val="en-US"/>
        </w:rPr>
      </w:pPr>
      <w:r w:rsidRPr="00901252">
        <w:rPr>
          <w:rFonts w:ascii="Arial" w:hAnsi="Arial" w:cs="Arial"/>
          <w:b/>
          <w:bCs/>
          <w:rtl/>
          <w:lang w:val="en-US"/>
        </w:rPr>
        <w:t>الفصل 8</w:t>
      </w:r>
      <w:r w:rsidRPr="00901252">
        <w:rPr>
          <w:rFonts w:ascii="Arial" w:hAnsi="Arial" w:cs="Arial"/>
          <w:b/>
          <w:bCs/>
          <w:lang w:val="en-US"/>
        </w:rPr>
        <w:t xml:space="preserve"> –</w:t>
      </w:r>
      <w:r>
        <w:rPr>
          <w:rFonts w:ascii="Arial" w:hAnsi="Arial" w:cs="Arial"/>
          <w:lang w:val="en-US"/>
        </w:rPr>
        <w:t xml:space="preserve"> </w:t>
      </w:r>
      <w:r w:rsidRPr="00901252">
        <w:rPr>
          <w:rFonts w:ascii="Arial" w:hAnsi="Arial" w:cs="Arial"/>
          <w:rtl/>
          <w:lang w:val="en-US"/>
        </w:rPr>
        <w:t xml:space="preserve"> تتعامل العناصر العسكرية والأمنية المكلفة بمراقبة الدخول والجولان بمنطقة العمليات العسكرية المنصوص عليها بالفصل الأول من هذا القرار الجمهوري مع حالات التواجد غير المرخص فيه والتجمهر التي قد تحصل داخل منطقة العمليات العسكرية المحدثة بمقتضى هذا القرار الجمهوري طبقا لموجبات حفظ النظام العام وخاصة القانون عدد 4 لسنة 1969 المؤرخ في 24 جانفي 1969 </w:t>
      </w:r>
      <w:r w:rsidRPr="00901252">
        <w:rPr>
          <w:rFonts w:ascii="Arial" w:hAnsi="Arial" w:cs="Arial"/>
          <w:rtl/>
          <w:lang w:val="en-US"/>
        </w:rPr>
        <w:lastRenderedPageBreak/>
        <w:t>المتعلق بالاجتماعات العامة والمواكب والاستعراضات والتجمهر، مع التقيد بمبدأ التدرج في استعمال القوة طبق التشريع الجاري به العمل</w:t>
      </w:r>
      <w:r w:rsidRPr="00901252">
        <w:rPr>
          <w:rFonts w:ascii="Arial" w:hAnsi="Arial" w:cs="Arial"/>
          <w:lang w:val="en-US"/>
        </w:rPr>
        <w:t>.</w:t>
      </w:r>
    </w:p>
    <w:p w14:paraId="294A1AF6" w14:textId="77777777" w:rsidR="0079209D" w:rsidRDefault="00901252" w:rsidP="0079209D">
      <w:pPr>
        <w:bidi/>
        <w:spacing w:before="100" w:beforeAutospacing="1" w:after="0"/>
        <w:ind w:left="283"/>
        <w:jc w:val="both"/>
        <w:rPr>
          <w:rFonts w:ascii="Arial" w:hAnsi="Arial" w:cs="Arial"/>
          <w:b/>
          <w:bCs/>
          <w:sz w:val="24"/>
          <w:szCs w:val="24"/>
          <w:lang w:val="en-US"/>
        </w:rPr>
      </w:pPr>
      <w:proofErr w:type="gramStart"/>
      <w:r w:rsidRPr="00901252">
        <w:rPr>
          <w:rFonts w:ascii="Arial" w:hAnsi="Arial" w:cs="Arial"/>
          <w:b/>
          <w:bCs/>
          <w:rtl/>
          <w:lang w:val="en-US"/>
        </w:rPr>
        <w:t>الفصل</w:t>
      </w:r>
      <w:proofErr w:type="gramEnd"/>
      <w:r w:rsidRPr="00901252">
        <w:rPr>
          <w:rFonts w:ascii="Arial" w:hAnsi="Arial" w:cs="Arial"/>
          <w:b/>
          <w:bCs/>
          <w:rtl/>
          <w:lang w:val="en-US"/>
        </w:rPr>
        <w:t xml:space="preserve"> 9</w:t>
      </w:r>
      <w:r w:rsidRPr="00901252">
        <w:rPr>
          <w:rFonts w:ascii="Arial" w:hAnsi="Arial" w:cs="Arial"/>
          <w:b/>
          <w:bCs/>
          <w:lang w:val="en-US"/>
        </w:rPr>
        <w:t xml:space="preserve"> –</w:t>
      </w:r>
      <w:r>
        <w:rPr>
          <w:rFonts w:ascii="Arial" w:hAnsi="Arial" w:cs="Arial"/>
          <w:lang w:val="en-US"/>
        </w:rPr>
        <w:t xml:space="preserve"> </w:t>
      </w:r>
      <w:r w:rsidRPr="00901252">
        <w:rPr>
          <w:rFonts w:ascii="Arial" w:hAnsi="Arial" w:cs="Arial"/>
          <w:rtl/>
          <w:lang w:val="en-US"/>
        </w:rPr>
        <w:t>تنطبق أحكام الفصول من 39 إلى 42 من المجلة الجزائية والفصل 98 من مجلة المرافعات والعقوبات العسكرية على الأشخاص المكلفين بتطبيق أحكام هذا القرار الجمهوري</w:t>
      </w:r>
      <w:r w:rsidRPr="00901252">
        <w:rPr>
          <w:rFonts w:ascii="Arial" w:hAnsi="Arial" w:cs="Arial"/>
          <w:lang w:val="en-US"/>
        </w:rPr>
        <w:t>.</w:t>
      </w:r>
    </w:p>
    <w:p w14:paraId="6687C894" w14:textId="77777777" w:rsidR="0079209D" w:rsidRDefault="00901252" w:rsidP="0079209D">
      <w:pPr>
        <w:bidi/>
        <w:spacing w:before="100" w:beforeAutospacing="1" w:after="0"/>
        <w:ind w:left="283"/>
        <w:jc w:val="both"/>
        <w:rPr>
          <w:rFonts w:ascii="Arial" w:hAnsi="Arial" w:cs="Arial"/>
          <w:b/>
          <w:bCs/>
          <w:sz w:val="24"/>
          <w:szCs w:val="24"/>
          <w:lang w:val="en-US"/>
        </w:rPr>
      </w:pPr>
      <w:proofErr w:type="gramStart"/>
      <w:r w:rsidRPr="00901252">
        <w:rPr>
          <w:rFonts w:ascii="Arial" w:hAnsi="Arial" w:cs="Arial"/>
          <w:b/>
          <w:bCs/>
          <w:rtl/>
          <w:lang w:val="en-US"/>
        </w:rPr>
        <w:t>الفصل</w:t>
      </w:r>
      <w:proofErr w:type="gramEnd"/>
      <w:r w:rsidRPr="00901252">
        <w:rPr>
          <w:rFonts w:ascii="Arial" w:hAnsi="Arial" w:cs="Arial"/>
          <w:b/>
          <w:bCs/>
          <w:rtl/>
          <w:lang w:val="en-US"/>
        </w:rPr>
        <w:t xml:space="preserve"> 10</w:t>
      </w:r>
      <w:r w:rsidRPr="00901252">
        <w:rPr>
          <w:rFonts w:ascii="Arial" w:hAnsi="Arial" w:cs="Arial"/>
          <w:b/>
          <w:bCs/>
          <w:lang w:val="en-US"/>
        </w:rPr>
        <w:t xml:space="preserve"> –</w:t>
      </w:r>
      <w:r>
        <w:rPr>
          <w:rFonts w:ascii="Arial" w:hAnsi="Arial" w:cs="Arial"/>
          <w:lang w:val="en-US"/>
        </w:rPr>
        <w:t xml:space="preserve"> </w:t>
      </w:r>
      <w:r w:rsidRPr="00901252">
        <w:rPr>
          <w:rFonts w:ascii="Arial" w:hAnsi="Arial" w:cs="Arial"/>
          <w:rtl/>
          <w:lang w:val="en-US"/>
        </w:rPr>
        <w:t>الوزراء وكتاب الدولة مكلفون، كل فيما يخصه، بتنفيذ هذا القرار الجمهوري الذي ينشر بالرائد الرسمي للجمهورية التونسية</w:t>
      </w:r>
      <w:r w:rsidRPr="00901252">
        <w:rPr>
          <w:rFonts w:ascii="Arial" w:hAnsi="Arial" w:cs="Arial"/>
          <w:lang w:val="en-US"/>
        </w:rPr>
        <w:t>.</w:t>
      </w:r>
    </w:p>
    <w:p w14:paraId="1FCB3785" w14:textId="0226D393" w:rsidR="00901252" w:rsidRPr="0079209D" w:rsidRDefault="00901252" w:rsidP="0079209D">
      <w:pPr>
        <w:bidi/>
        <w:spacing w:before="100" w:beforeAutospacing="1" w:after="0"/>
        <w:ind w:left="283"/>
        <w:jc w:val="both"/>
        <w:rPr>
          <w:rFonts w:ascii="Arial" w:hAnsi="Arial" w:cs="Arial"/>
          <w:b/>
          <w:bCs/>
          <w:sz w:val="24"/>
          <w:szCs w:val="24"/>
          <w:rtl/>
          <w:lang w:val="en-US"/>
        </w:rPr>
      </w:pPr>
      <w:r w:rsidRPr="00901252">
        <w:rPr>
          <w:rFonts w:ascii="Arial" w:hAnsi="Arial" w:cs="Arial"/>
          <w:b/>
          <w:bCs/>
          <w:rtl/>
          <w:lang w:val="en-US"/>
        </w:rPr>
        <w:t>تونس في 25 أكتوبر 2013</w:t>
      </w:r>
      <w:r w:rsidRPr="00901252">
        <w:rPr>
          <w:rFonts w:ascii="Arial" w:hAnsi="Arial" w:cs="Arial"/>
          <w:b/>
          <w:bCs/>
          <w:lang w:val="en-US"/>
        </w:rPr>
        <w:t>.</w:t>
      </w:r>
    </w:p>
    <w:p w14:paraId="59A3D800" w14:textId="096F009A" w:rsidR="00214CFF" w:rsidRPr="00901252" w:rsidRDefault="00214CFF" w:rsidP="00901252">
      <w:pPr>
        <w:bidi/>
        <w:spacing w:after="0"/>
        <w:jc w:val="both"/>
        <w:rPr>
          <w:rFonts w:ascii="Arial" w:hAnsi="Arial" w:cs="Arial"/>
          <w:lang w:val="en-US"/>
        </w:rPr>
      </w:pPr>
    </w:p>
    <w:sectPr w:rsidR="00214CFF" w:rsidRPr="00901252"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12A83" w14:textId="77777777" w:rsidR="00E464E8" w:rsidRDefault="00E464E8" w:rsidP="008F3F2D">
      <w:r>
        <w:separator/>
      </w:r>
    </w:p>
  </w:endnote>
  <w:endnote w:type="continuationSeparator" w:id="0">
    <w:p w14:paraId="4DAE4DB5" w14:textId="77777777" w:rsidR="00E464E8" w:rsidRDefault="00E464E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9209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9209D">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9209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9209D">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9209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9209D">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9209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9209D">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21896" w14:textId="77777777" w:rsidR="00E464E8" w:rsidRDefault="00E464E8" w:rsidP="00696990">
      <w:pPr>
        <w:bidi/>
        <w:jc w:val="both"/>
      </w:pPr>
      <w:r>
        <w:separator/>
      </w:r>
    </w:p>
  </w:footnote>
  <w:footnote w:type="continuationSeparator" w:id="0">
    <w:p w14:paraId="6C969EE9" w14:textId="77777777" w:rsidR="00E464E8" w:rsidRDefault="00E464E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3C1"/>
    <w:multiLevelType w:val="hybridMultilevel"/>
    <w:tmpl w:val="BA18D00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67F73E9"/>
    <w:multiLevelType w:val="hybridMultilevel"/>
    <w:tmpl w:val="E63C0F8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ACE318A"/>
    <w:multiLevelType w:val="hybridMultilevel"/>
    <w:tmpl w:val="4F14230C"/>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DF5617"/>
    <w:multiLevelType w:val="hybridMultilevel"/>
    <w:tmpl w:val="DAB298F8"/>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226B2172"/>
    <w:multiLevelType w:val="hybridMultilevel"/>
    <w:tmpl w:val="9E68899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22A01F82"/>
    <w:multiLevelType w:val="hybridMultilevel"/>
    <w:tmpl w:val="D820F88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nsid w:val="316F1EA8"/>
    <w:multiLevelType w:val="hybridMultilevel"/>
    <w:tmpl w:val="6FD2522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nsid w:val="4AD64483"/>
    <w:multiLevelType w:val="hybridMultilevel"/>
    <w:tmpl w:val="2CB4540A"/>
    <w:lvl w:ilvl="0" w:tplc="040C0011">
      <w:start w:val="1"/>
      <w:numFmt w:val="decimal"/>
      <w:lvlText w:val="%1)"/>
      <w:lvlJc w:val="left"/>
      <w:pPr>
        <w:ind w:left="1004" w:hanging="360"/>
      </w:pPr>
    </w:lvl>
    <w:lvl w:ilvl="1" w:tplc="DB98EDC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53E821ED"/>
    <w:multiLevelType w:val="hybridMultilevel"/>
    <w:tmpl w:val="85AC95CC"/>
    <w:lvl w:ilvl="0" w:tplc="6DA48D66">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4">
    <w:nsid w:val="560014CA"/>
    <w:multiLevelType w:val="hybridMultilevel"/>
    <w:tmpl w:val="7C40477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0E83E26"/>
    <w:multiLevelType w:val="hybridMultilevel"/>
    <w:tmpl w:val="11A07A82"/>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719A670E"/>
    <w:multiLevelType w:val="hybridMultilevel"/>
    <w:tmpl w:val="C27EE792"/>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3"/>
  </w:num>
  <w:num w:numId="5">
    <w:abstractNumId w:val="19"/>
  </w:num>
  <w:num w:numId="6">
    <w:abstractNumId w:val="5"/>
  </w:num>
  <w:num w:numId="7">
    <w:abstractNumId w:val="16"/>
  </w:num>
  <w:num w:numId="8">
    <w:abstractNumId w:val="4"/>
  </w:num>
  <w:num w:numId="9">
    <w:abstractNumId w:val="13"/>
  </w:num>
  <w:num w:numId="10">
    <w:abstractNumId w:val="18"/>
  </w:num>
  <w:num w:numId="11">
    <w:abstractNumId w:val="2"/>
  </w:num>
  <w:num w:numId="12">
    <w:abstractNumId w:val="0"/>
  </w:num>
  <w:num w:numId="13">
    <w:abstractNumId w:val="1"/>
  </w:num>
  <w:num w:numId="14">
    <w:abstractNumId w:val="14"/>
  </w:num>
  <w:num w:numId="15">
    <w:abstractNumId w:val="10"/>
  </w:num>
  <w:num w:numId="16">
    <w:abstractNumId w:val="8"/>
  </w:num>
  <w:num w:numId="17">
    <w:abstractNumId w:val="17"/>
  </w:num>
  <w:num w:numId="18">
    <w:abstractNumId w:val="7"/>
  </w:num>
  <w:num w:numId="19">
    <w:abstractNumId w:val="12"/>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F7BF4"/>
    <w:rsid w:val="00655356"/>
    <w:rsid w:val="00684129"/>
    <w:rsid w:val="00690191"/>
    <w:rsid w:val="00696990"/>
    <w:rsid w:val="006C103F"/>
    <w:rsid w:val="007244D3"/>
    <w:rsid w:val="0075404E"/>
    <w:rsid w:val="0079209D"/>
    <w:rsid w:val="007C6F68"/>
    <w:rsid w:val="007F729E"/>
    <w:rsid w:val="008016FB"/>
    <w:rsid w:val="0086081A"/>
    <w:rsid w:val="00867853"/>
    <w:rsid w:val="008D73A6"/>
    <w:rsid w:val="008F3F2D"/>
    <w:rsid w:val="00901252"/>
    <w:rsid w:val="00957F0E"/>
    <w:rsid w:val="0097472C"/>
    <w:rsid w:val="00A00644"/>
    <w:rsid w:val="00A04F09"/>
    <w:rsid w:val="00A054EF"/>
    <w:rsid w:val="00A81D8F"/>
    <w:rsid w:val="00A90F21"/>
    <w:rsid w:val="00AD2268"/>
    <w:rsid w:val="00B05438"/>
    <w:rsid w:val="00B617F1"/>
    <w:rsid w:val="00C1635D"/>
    <w:rsid w:val="00C64B86"/>
    <w:rsid w:val="00C9512C"/>
    <w:rsid w:val="00CC4ADF"/>
    <w:rsid w:val="00CF2BFB"/>
    <w:rsid w:val="00D07749"/>
    <w:rsid w:val="00D17590"/>
    <w:rsid w:val="00D27C26"/>
    <w:rsid w:val="00DF2B42"/>
    <w:rsid w:val="00E10A35"/>
    <w:rsid w:val="00E464E8"/>
    <w:rsid w:val="00E953A2"/>
    <w:rsid w:val="00EB1981"/>
    <w:rsid w:val="00F502A2"/>
    <w:rsid w:val="00F57B75"/>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2012-07-16T08:37:00Z</cp:lastPrinted>
  <dcterms:created xsi:type="dcterms:W3CDTF">2013-11-18T10:36:00Z</dcterms:created>
  <dcterms:modified xsi:type="dcterms:W3CDTF">2013-11-18T10:36:00Z</dcterms:modified>
</cp:coreProperties>
</file>