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100F3" w14:textId="0FD71D57" w:rsidR="005F25FE" w:rsidRPr="005F25FE" w:rsidRDefault="005F25FE" w:rsidP="005F25FE">
      <w:pPr>
        <w:spacing w:before="120" w:after="0" w:line="240" w:lineRule="auto"/>
        <w:ind w:left="284"/>
        <w:jc w:val="both"/>
        <w:rPr>
          <w:rFonts w:ascii="Arial" w:hAnsi="Arial" w:cs="Arial"/>
          <w:b/>
          <w:bCs/>
          <w:sz w:val="24"/>
          <w:szCs w:val="24"/>
        </w:rPr>
      </w:pPr>
      <w:r w:rsidRPr="005F25FE">
        <w:rPr>
          <w:rFonts w:ascii="Arial" w:hAnsi="Arial" w:cs="Arial"/>
          <w:b/>
          <w:bCs/>
          <w:sz w:val="24"/>
          <w:szCs w:val="24"/>
        </w:rPr>
        <w:t xml:space="preserve">Arrêté du ministre des </w:t>
      </w:r>
      <w:r w:rsidRPr="005F25FE">
        <w:rPr>
          <w:rFonts w:ascii="Arial" w:hAnsi="Arial" w:cs="Arial"/>
          <w:b/>
          <w:bCs/>
          <w:sz w:val="24"/>
          <w:szCs w:val="24"/>
        </w:rPr>
        <w:t>Affaires</w:t>
      </w:r>
      <w:r w:rsidRPr="005F25FE">
        <w:rPr>
          <w:rFonts w:ascii="Arial" w:hAnsi="Arial" w:cs="Arial"/>
          <w:b/>
          <w:bCs/>
          <w:sz w:val="24"/>
          <w:szCs w:val="24"/>
        </w:rPr>
        <w:t xml:space="preserve"> locales et de l’environnement et du ministre des </w:t>
      </w:r>
      <w:r w:rsidR="00E4777A" w:rsidRPr="005F25FE">
        <w:rPr>
          <w:rFonts w:ascii="Arial" w:hAnsi="Arial" w:cs="Arial"/>
          <w:b/>
          <w:bCs/>
          <w:sz w:val="24"/>
          <w:szCs w:val="24"/>
        </w:rPr>
        <w:t>Finances</w:t>
      </w:r>
      <w:r w:rsidRPr="005F25FE">
        <w:rPr>
          <w:rFonts w:ascii="Arial" w:hAnsi="Arial" w:cs="Arial"/>
          <w:b/>
          <w:bCs/>
          <w:sz w:val="24"/>
          <w:szCs w:val="24"/>
        </w:rPr>
        <w:t xml:space="preserve"> du 25 décembre 2018, fixant les critères d'évaluation de la performance des collectivités locales</w:t>
      </w:r>
    </w:p>
    <w:p w14:paraId="1AD5E539" w14:textId="77777777" w:rsidR="005F25FE" w:rsidRPr="005F25FE" w:rsidRDefault="005F25FE" w:rsidP="005F25FE">
      <w:pPr>
        <w:spacing w:before="120" w:after="0" w:line="240" w:lineRule="auto"/>
        <w:ind w:left="284"/>
        <w:jc w:val="both"/>
        <w:rPr>
          <w:rFonts w:ascii="Arial" w:hAnsi="Arial" w:cs="Arial"/>
          <w:sz w:val="20"/>
          <w:szCs w:val="20"/>
        </w:rPr>
      </w:pPr>
    </w:p>
    <w:p w14:paraId="6A1E2219" w14:textId="2BA36453" w:rsidR="005F25FE" w:rsidRPr="005F25FE" w:rsidRDefault="005F25FE" w:rsidP="005F25FE">
      <w:pPr>
        <w:spacing w:before="120" w:after="0" w:line="240" w:lineRule="auto"/>
        <w:ind w:left="284"/>
        <w:jc w:val="both"/>
        <w:rPr>
          <w:rFonts w:ascii="Arial" w:hAnsi="Arial" w:cs="Arial"/>
          <w:sz w:val="20"/>
          <w:szCs w:val="20"/>
        </w:rPr>
      </w:pPr>
      <w:r w:rsidRPr="005F25FE">
        <w:rPr>
          <w:rFonts w:ascii="Arial" w:hAnsi="Arial" w:cs="Arial"/>
          <w:sz w:val="20"/>
          <w:szCs w:val="20"/>
        </w:rPr>
        <w:t xml:space="preserve">Le ministre des </w:t>
      </w:r>
      <w:r w:rsidRPr="005F25FE">
        <w:rPr>
          <w:rFonts w:ascii="Arial" w:hAnsi="Arial" w:cs="Arial"/>
          <w:sz w:val="20"/>
          <w:szCs w:val="20"/>
        </w:rPr>
        <w:t>Affaires</w:t>
      </w:r>
      <w:r w:rsidRPr="005F25FE">
        <w:rPr>
          <w:rFonts w:ascii="Arial" w:hAnsi="Arial" w:cs="Arial"/>
          <w:sz w:val="20"/>
          <w:szCs w:val="20"/>
        </w:rPr>
        <w:t xml:space="preserve"> locales et de l’environnement et le ministre des </w:t>
      </w:r>
      <w:r w:rsidR="00E4777A" w:rsidRPr="005F25FE">
        <w:rPr>
          <w:rFonts w:ascii="Arial" w:hAnsi="Arial" w:cs="Arial"/>
          <w:sz w:val="20"/>
          <w:szCs w:val="20"/>
        </w:rPr>
        <w:t>Finances</w:t>
      </w:r>
      <w:r w:rsidRPr="005F25FE">
        <w:rPr>
          <w:rFonts w:ascii="Arial" w:hAnsi="Arial" w:cs="Arial"/>
          <w:sz w:val="20"/>
          <w:szCs w:val="20"/>
        </w:rPr>
        <w:t>,</w:t>
      </w:r>
    </w:p>
    <w:p w14:paraId="210EFF49" w14:textId="77777777" w:rsidR="005F25FE" w:rsidRPr="005F25FE" w:rsidRDefault="005F25FE" w:rsidP="005F25FE">
      <w:pPr>
        <w:spacing w:before="120" w:after="0" w:line="240" w:lineRule="auto"/>
        <w:ind w:left="284"/>
        <w:jc w:val="both"/>
        <w:rPr>
          <w:rFonts w:ascii="Arial" w:hAnsi="Arial" w:cs="Arial"/>
          <w:sz w:val="20"/>
          <w:szCs w:val="20"/>
        </w:rPr>
      </w:pPr>
      <w:r w:rsidRPr="005F25FE">
        <w:rPr>
          <w:rFonts w:ascii="Arial" w:hAnsi="Arial" w:cs="Arial"/>
          <w:sz w:val="20"/>
          <w:szCs w:val="20"/>
        </w:rPr>
        <w:t>Vu la constitution,</w:t>
      </w:r>
    </w:p>
    <w:p w14:paraId="57646411" w14:textId="77777777" w:rsidR="005F25FE" w:rsidRPr="005F25FE" w:rsidRDefault="005F25FE" w:rsidP="005F25FE">
      <w:pPr>
        <w:spacing w:before="120" w:after="0" w:line="240" w:lineRule="auto"/>
        <w:ind w:left="284"/>
        <w:jc w:val="both"/>
        <w:rPr>
          <w:rFonts w:ascii="Arial" w:hAnsi="Arial" w:cs="Arial"/>
          <w:sz w:val="20"/>
          <w:szCs w:val="20"/>
        </w:rPr>
      </w:pPr>
      <w:r w:rsidRPr="005F25FE">
        <w:rPr>
          <w:rFonts w:ascii="Arial" w:hAnsi="Arial" w:cs="Arial"/>
          <w:sz w:val="20"/>
          <w:szCs w:val="20"/>
        </w:rPr>
        <w:t>Vu la loi organique n° 75-35 du 14 mai 1975, relative à la loi organique du budget des collectivités publiques locales, telle que modifiée et complétée par les textes subséquents et notamment la loi organique n° 2007-65 du 18 décembre 2007,</w:t>
      </w:r>
    </w:p>
    <w:p w14:paraId="415FC421" w14:textId="77777777" w:rsidR="005F25FE" w:rsidRPr="005F25FE" w:rsidRDefault="005F25FE" w:rsidP="005F25FE">
      <w:pPr>
        <w:spacing w:before="120" w:after="0" w:line="240" w:lineRule="auto"/>
        <w:ind w:left="284"/>
        <w:jc w:val="both"/>
        <w:rPr>
          <w:rFonts w:ascii="Arial" w:hAnsi="Arial" w:cs="Arial"/>
          <w:sz w:val="20"/>
          <w:szCs w:val="20"/>
        </w:rPr>
      </w:pPr>
      <w:r w:rsidRPr="005F25FE">
        <w:rPr>
          <w:rFonts w:ascii="Arial" w:hAnsi="Arial" w:cs="Arial"/>
          <w:sz w:val="20"/>
          <w:szCs w:val="20"/>
        </w:rPr>
        <w:t>Vu la loi organique n° 2018-29 du 9 mai 2018, relative au code des collectivités locales,</w:t>
      </w:r>
    </w:p>
    <w:p w14:paraId="11F40BAB" w14:textId="77777777" w:rsidR="005F25FE" w:rsidRPr="005F25FE" w:rsidRDefault="005F25FE" w:rsidP="005F25FE">
      <w:pPr>
        <w:spacing w:before="120" w:after="0" w:line="240" w:lineRule="auto"/>
        <w:ind w:left="284"/>
        <w:jc w:val="both"/>
        <w:rPr>
          <w:rFonts w:ascii="Arial" w:hAnsi="Arial" w:cs="Arial"/>
          <w:sz w:val="20"/>
          <w:szCs w:val="20"/>
        </w:rPr>
      </w:pPr>
      <w:r w:rsidRPr="005F25FE">
        <w:rPr>
          <w:rFonts w:ascii="Arial" w:hAnsi="Arial" w:cs="Arial"/>
          <w:sz w:val="20"/>
          <w:szCs w:val="20"/>
        </w:rPr>
        <w:t>Vu le code de la comptabilité publique promulgué par la loi n° 73-81 du 31 décembre 1973, telle que modifié et complété par les textes subséquents et notamment la loi n° 2013-54 du 30 décembre 2013 relative à la loi de finances pour l'année 2014, et notamment son article 66,</w:t>
      </w:r>
    </w:p>
    <w:p w14:paraId="5A706541" w14:textId="77777777" w:rsidR="005F25FE" w:rsidRPr="005F25FE" w:rsidRDefault="005F25FE" w:rsidP="005F25FE">
      <w:pPr>
        <w:spacing w:before="120" w:after="0" w:line="240" w:lineRule="auto"/>
        <w:ind w:left="284"/>
        <w:jc w:val="both"/>
        <w:rPr>
          <w:rFonts w:ascii="Arial" w:hAnsi="Arial" w:cs="Arial"/>
          <w:sz w:val="20"/>
          <w:szCs w:val="20"/>
        </w:rPr>
      </w:pPr>
      <w:r w:rsidRPr="005F25FE">
        <w:rPr>
          <w:rFonts w:ascii="Arial" w:hAnsi="Arial" w:cs="Arial"/>
          <w:sz w:val="20"/>
          <w:szCs w:val="20"/>
        </w:rPr>
        <w:t>Vu la loi n° 75-37 du 14 mai 1975, relative à la transformation de la caisse des prêts des communes en une caisse des prêts et de soutien des collectivités locales,</w:t>
      </w:r>
    </w:p>
    <w:p w14:paraId="24E9490E" w14:textId="77777777" w:rsidR="005F25FE" w:rsidRPr="005F25FE" w:rsidRDefault="005F25FE" w:rsidP="005F25FE">
      <w:pPr>
        <w:spacing w:before="120" w:after="0" w:line="240" w:lineRule="auto"/>
        <w:ind w:left="284"/>
        <w:jc w:val="both"/>
        <w:rPr>
          <w:rFonts w:ascii="Arial" w:hAnsi="Arial" w:cs="Arial"/>
          <w:sz w:val="20"/>
          <w:szCs w:val="20"/>
        </w:rPr>
      </w:pPr>
      <w:r w:rsidRPr="005F25FE">
        <w:rPr>
          <w:rFonts w:ascii="Arial" w:hAnsi="Arial" w:cs="Arial"/>
          <w:sz w:val="20"/>
          <w:szCs w:val="20"/>
        </w:rPr>
        <w:t>Vu le décret n° 92-688 du 16 avril 1992, relatif à l’organisation administrative et financière de la caisse des prêts et de soutien des collectivités locales et les modalités de son fonctionnement,</w:t>
      </w:r>
    </w:p>
    <w:p w14:paraId="24A45AC8" w14:textId="77777777" w:rsidR="005F25FE" w:rsidRPr="005F25FE" w:rsidRDefault="005F25FE" w:rsidP="005F25FE">
      <w:pPr>
        <w:spacing w:before="120" w:after="0" w:line="240" w:lineRule="auto"/>
        <w:ind w:left="284"/>
        <w:jc w:val="both"/>
        <w:rPr>
          <w:rFonts w:ascii="Arial" w:hAnsi="Arial" w:cs="Arial"/>
          <w:sz w:val="20"/>
          <w:szCs w:val="20"/>
        </w:rPr>
      </w:pPr>
      <w:r w:rsidRPr="005F25FE">
        <w:rPr>
          <w:rFonts w:ascii="Arial" w:hAnsi="Arial" w:cs="Arial"/>
          <w:sz w:val="20"/>
          <w:szCs w:val="20"/>
        </w:rPr>
        <w:t>Vu le décret n° 2013-3232 du 12 août 2013, portant organisation du corps de contrôle général des services publics et fixant ses attributions ainsi que le statut particulier de ses membres et notamment son article 2,</w:t>
      </w:r>
    </w:p>
    <w:p w14:paraId="503B6314" w14:textId="77777777" w:rsidR="005F25FE" w:rsidRPr="005F25FE" w:rsidRDefault="005F25FE" w:rsidP="005F25FE">
      <w:pPr>
        <w:spacing w:before="120" w:after="0" w:line="240" w:lineRule="auto"/>
        <w:ind w:left="284"/>
        <w:jc w:val="both"/>
        <w:rPr>
          <w:rFonts w:ascii="Arial" w:hAnsi="Arial" w:cs="Arial"/>
          <w:sz w:val="20"/>
          <w:szCs w:val="20"/>
        </w:rPr>
      </w:pPr>
      <w:r w:rsidRPr="005F25FE">
        <w:rPr>
          <w:rFonts w:ascii="Arial" w:hAnsi="Arial" w:cs="Arial"/>
          <w:sz w:val="20"/>
          <w:szCs w:val="20"/>
        </w:rPr>
        <w:t>Vu le décret n° 2014-1039 du 13 mars 2014, portant réglementation des marchés publics, tel que modifié et complété par le décret gouvernemental n° 2018-416 du 11 mai 2018.</w:t>
      </w:r>
    </w:p>
    <w:p w14:paraId="1154C77E" w14:textId="77777777" w:rsidR="005F25FE" w:rsidRPr="005F25FE" w:rsidRDefault="005F25FE" w:rsidP="005F25FE">
      <w:pPr>
        <w:spacing w:before="120" w:after="0" w:line="240" w:lineRule="auto"/>
        <w:ind w:left="284"/>
        <w:jc w:val="both"/>
        <w:rPr>
          <w:rFonts w:ascii="Arial" w:hAnsi="Arial" w:cs="Arial"/>
          <w:sz w:val="20"/>
          <w:szCs w:val="20"/>
        </w:rPr>
      </w:pPr>
      <w:r w:rsidRPr="005F25FE">
        <w:rPr>
          <w:rFonts w:ascii="Arial" w:hAnsi="Arial" w:cs="Arial"/>
          <w:sz w:val="20"/>
          <w:szCs w:val="20"/>
        </w:rPr>
        <w:t>Vu le décret n° 2014-3505 du 30 septembre 2014, fixant les conditions d'attribution des prêts et d'octroi des subventions par la caisse des prêts et de soutien des collectivités locales et notamment ses articles 6,10 et 11,</w:t>
      </w:r>
    </w:p>
    <w:p w14:paraId="7C75DC59" w14:textId="77777777" w:rsidR="005F25FE" w:rsidRPr="005F25FE" w:rsidRDefault="005F25FE" w:rsidP="005F25FE">
      <w:pPr>
        <w:spacing w:before="120" w:after="0" w:line="240" w:lineRule="auto"/>
        <w:ind w:left="284"/>
        <w:jc w:val="both"/>
        <w:rPr>
          <w:rFonts w:ascii="Arial" w:hAnsi="Arial" w:cs="Arial"/>
          <w:sz w:val="20"/>
          <w:szCs w:val="20"/>
        </w:rPr>
      </w:pPr>
      <w:r w:rsidRPr="005F25FE">
        <w:rPr>
          <w:rFonts w:ascii="Arial" w:hAnsi="Arial" w:cs="Arial"/>
          <w:sz w:val="20"/>
          <w:szCs w:val="20"/>
        </w:rPr>
        <w:t>Vu le décret Présidentiel n° 2016-107 du 27 août 2016, portant nomination du chef du gouvernement et de ses membres,</w:t>
      </w:r>
    </w:p>
    <w:p w14:paraId="50934FA5" w14:textId="77777777" w:rsidR="005F25FE" w:rsidRPr="005F25FE" w:rsidRDefault="005F25FE" w:rsidP="005F25FE">
      <w:pPr>
        <w:spacing w:before="120" w:after="0" w:line="240" w:lineRule="auto"/>
        <w:ind w:left="284"/>
        <w:jc w:val="both"/>
        <w:rPr>
          <w:rFonts w:ascii="Arial" w:hAnsi="Arial" w:cs="Arial"/>
          <w:sz w:val="20"/>
          <w:szCs w:val="20"/>
        </w:rPr>
      </w:pPr>
      <w:r w:rsidRPr="005F25FE">
        <w:rPr>
          <w:rFonts w:ascii="Arial" w:hAnsi="Arial" w:cs="Arial"/>
          <w:sz w:val="20"/>
          <w:szCs w:val="20"/>
        </w:rPr>
        <w:t>Vu le décret Présidentiel n° 2017-124 du 12 septembre 2017, portant nomination de membres au gouvernement,</w:t>
      </w:r>
    </w:p>
    <w:p w14:paraId="3E635CF6" w14:textId="77777777" w:rsidR="005F25FE" w:rsidRPr="005F25FE" w:rsidRDefault="005F25FE" w:rsidP="005F25FE">
      <w:pPr>
        <w:spacing w:before="120" w:after="0" w:line="240" w:lineRule="auto"/>
        <w:ind w:left="284"/>
        <w:jc w:val="both"/>
        <w:rPr>
          <w:rFonts w:ascii="Arial" w:hAnsi="Arial" w:cs="Arial"/>
          <w:sz w:val="20"/>
          <w:szCs w:val="20"/>
        </w:rPr>
      </w:pPr>
      <w:r w:rsidRPr="005F25FE">
        <w:rPr>
          <w:rFonts w:ascii="Arial" w:hAnsi="Arial" w:cs="Arial"/>
          <w:sz w:val="20"/>
          <w:szCs w:val="20"/>
        </w:rPr>
        <w:t>Vu le décret Présidentiel n° 2018-125 du 14 novembre 2018, portant nomination de membres au gouvernement,</w:t>
      </w:r>
    </w:p>
    <w:p w14:paraId="04F2120D" w14:textId="5F71EB71" w:rsidR="005F25FE" w:rsidRPr="005F25FE" w:rsidRDefault="005F25FE" w:rsidP="005F25FE">
      <w:pPr>
        <w:spacing w:before="120" w:after="0" w:line="240" w:lineRule="auto"/>
        <w:ind w:left="284"/>
        <w:jc w:val="both"/>
        <w:rPr>
          <w:rFonts w:ascii="Arial" w:hAnsi="Arial" w:cs="Arial"/>
          <w:sz w:val="20"/>
          <w:szCs w:val="20"/>
        </w:rPr>
      </w:pPr>
      <w:r w:rsidRPr="005F25FE">
        <w:rPr>
          <w:rFonts w:ascii="Arial" w:hAnsi="Arial" w:cs="Arial"/>
          <w:sz w:val="20"/>
          <w:szCs w:val="20"/>
        </w:rPr>
        <w:t xml:space="preserve">Vu l’arrêté du ministre de </w:t>
      </w:r>
      <w:r w:rsidR="00E4777A" w:rsidRPr="005F25FE">
        <w:rPr>
          <w:rFonts w:ascii="Arial" w:hAnsi="Arial" w:cs="Arial"/>
          <w:sz w:val="20"/>
          <w:szCs w:val="20"/>
        </w:rPr>
        <w:t>l’Intérieur</w:t>
      </w:r>
      <w:r w:rsidRPr="005F25FE">
        <w:rPr>
          <w:rFonts w:ascii="Arial" w:hAnsi="Arial" w:cs="Arial"/>
          <w:sz w:val="20"/>
          <w:szCs w:val="20"/>
        </w:rPr>
        <w:t xml:space="preserve"> et du ministre des </w:t>
      </w:r>
      <w:r w:rsidR="00E4777A" w:rsidRPr="005F25FE">
        <w:rPr>
          <w:rFonts w:ascii="Arial" w:hAnsi="Arial" w:cs="Arial"/>
          <w:sz w:val="20"/>
          <w:szCs w:val="20"/>
        </w:rPr>
        <w:t>Finances</w:t>
      </w:r>
      <w:r w:rsidRPr="005F25FE">
        <w:rPr>
          <w:rFonts w:ascii="Arial" w:hAnsi="Arial" w:cs="Arial"/>
          <w:sz w:val="20"/>
          <w:szCs w:val="20"/>
        </w:rPr>
        <w:t xml:space="preserve"> du 13 juillet 2015, fixant les conditions minimales requises pour le transfert aux collectivités locales des subventions annuelles par la caisse des prêts et de soutien des collectivités locales, tel que modifié par l’arrêté du ministre des </w:t>
      </w:r>
      <w:r w:rsidR="00E4777A" w:rsidRPr="005F25FE">
        <w:rPr>
          <w:rFonts w:ascii="Arial" w:hAnsi="Arial" w:cs="Arial"/>
          <w:sz w:val="20"/>
          <w:szCs w:val="20"/>
        </w:rPr>
        <w:t>Affaires</w:t>
      </w:r>
      <w:r w:rsidRPr="005F25FE">
        <w:rPr>
          <w:rFonts w:ascii="Arial" w:hAnsi="Arial" w:cs="Arial"/>
          <w:sz w:val="20"/>
          <w:szCs w:val="20"/>
        </w:rPr>
        <w:t xml:space="preserve"> locales et de l’environnement et le ministre des </w:t>
      </w:r>
      <w:r w:rsidR="00C258F3" w:rsidRPr="005F25FE">
        <w:rPr>
          <w:rFonts w:ascii="Arial" w:hAnsi="Arial" w:cs="Arial"/>
          <w:sz w:val="20"/>
          <w:szCs w:val="20"/>
        </w:rPr>
        <w:t>Finances</w:t>
      </w:r>
      <w:r w:rsidRPr="005F25FE">
        <w:rPr>
          <w:rFonts w:ascii="Arial" w:hAnsi="Arial" w:cs="Arial"/>
          <w:sz w:val="20"/>
          <w:szCs w:val="20"/>
        </w:rPr>
        <w:t xml:space="preserve"> du 14 novembre 2017,</w:t>
      </w:r>
    </w:p>
    <w:p w14:paraId="55AB378A" w14:textId="0A524392" w:rsidR="005F25FE" w:rsidRPr="005F25FE" w:rsidRDefault="005F25FE" w:rsidP="005F25FE">
      <w:pPr>
        <w:spacing w:before="120" w:after="0" w:line="240" w:lineRule="auto"/>
        <w:ind w:left="284"/>
        <w:jc w:val="both"/>
        <w:rPr>
          <w:rFonts w:ascii="Arial" w:hAnsi="Arial" w:cs="Arial"/>
          <w:sz w:val="20"/>
          <w:szCs w:val="20"/>
        </w:rPr>
      </w:pPr>
      <w:r w:rsidRPr="005F25FE">
        <w:rPr>
          <w:rFonts w:ascii="Arial" w:hAnsi="Arial" w:cs="Arial"/>
          <w:sz w:val="20"/>
          <w:szCs w:val="20"/>
        </w:rPr>
        <w:t xml:space="preserve">Vu l’arrêté du ministre de </w:t>
      </w:r>
      <w:r w:rsidR="00E4777A" w:rsidRPr="005F25FE">
        <w:rPr>
          <w:rFonts w:ascii="Arial" w:hAnsi="Arial" w:cs="Arial"/>
          <w:sz w:val="20"/>
          <w:szCs w:val="20"/>
        </w:rPr>
        <w:t>l’Intérieur</w:t>
      </w:r>
      <w:r w:rsidRPr="005F25FE">
        <w:rPr>
          <w:rFonts w:ascii="Arial" w:hAnsi="Arial" w:cs="Arial"/>
          <w:sz w:val="20"/>
          <w:szCs w:val="20"/>
        </w:rPr>
        <w:t xml:space="preserve"> et du ministre des </w:t>
      </w:r>
      <w:r w:rsidR="00E4777A" w:rsidRPr="005F25FE">
        <w:rPr>
          <w:rFonts w:ascii="Arial" w:hAnsi="Arial" w:cs="Arial"/>
          <w:sz w:val="20"/>
          <w:szCs w:val="20"/>
        </w:rPr>
        <w:t>Finances</w:t>
      </w:r>
      <w:r w:rsidRPr="005F25FE">
        <w:rPr>
          <w:rFonts w:ascii="Arial" w:hAnsi="Arial" w:cs="Arial"/>
          <w:sz w:val="20"/>
          <w:szCs w:val="20"/>
        </w:rPr>
        <w:t xml:space="preserve"> du 3 août 2015, fixant les modalités de calcul des subventions globales non affectées mentionnées à l'article 6 du décret n° 2014-3505 du 30 septembre 2014,</w:t>
      </w:r>
    </w:p>
    <w:p w14:paraId="247E9987" w14:textId="6C87CF2F" w:rsidR="005F25FE" w:rsidRPr="005F25FE" w:rsidRDefault="005F25FE" w:rsidP="005F25FE">
      <w:pPr>
        <w:spacing w:before="120" w:after="0" w:line="240" w:lineRule="auto"/>
        <w:ind w:left="284"/>
        <w:jc w:val="both"/>
        <w:rPr>
          <w:rFonts w:ascii="Arial" w:hAnsi="Arial" w:cs="Arial"/>
          <w:sz w:val="20"/>
          <w:szCs w:val="20"/>
        </w:rPr>
      </w:pPr>
      <w:r w:rsidRPr="005F25FE">
        <w:rPr>
          <w:rFonts w:ascii="Arial" w:hAnsi="Arial" w:cs="Arial"/>
          <w:sz w:val="20"/>
          <w:szCs w:val="20"/>
        </w:rPr>
        <w:t xml:space="preserve">Vu l’arrêté du ministre de </w:t>
      </w:r>
      <w:r w:rsidR="00E4777A" w:rsidRPr="005F25FE">
        <w:rPr>
          <w:rFonts w:ascii="Arial" w:hAnsi="Arial" w:cs="Arial"/>
          <w:sz w:val="20"/>
          <w:szCs w:val="20"/>
        </w:rPr>
        <w:t>l’Intérieur</w:t>
      </w:r>
      <w:r w:rsidRPr="005F25FE">
        <w:rPr>
          <w:rFonts w:ascii="Arial" w:hAnsi="Arial" w:cs="Arial"/>
          <w:sz w:val="20"/>
          <w:szCs w:val="20"/>
        </w:rPr>
        <w:t xml:space="preserve"> et du ministre des </w:t>
      </w:r>
      <w:r w:rsidR="00E4777A" w:rsidRPr="005F25FE">
        <w:rPr>
          <w:rFonts w:ascii="Arial" w:hAnsi="Arial" w:cs="Arial"/>
          <w:sz w:val="20"/>
          <w:szCs w:val="20"/>
        </w:rPr>
        <w:t>Finances</w:t>
      </w:r>
      <w:r w:rsidRPr="005F25FE">
        <w:rPr>
          <w:rFonts w:ascii="Arial" w:hAnsi="Arial" w:cs="Arial"/>
          <w:sz w:val="20"/>
          <w:szCs w:val="20"/>
        </w:rPr>
        <w:t xml:space="preserve"> du 29 décembre 2015, fixant les critères d'évaluation de la performance des collectivités locales mentionnés à l'article 11 du décret n° 2014-3505 du 30 septembre 2014,</w:t>
      </w:r>
    </w:p>
    <w:p w14:paraId="27D49534" w14:textId="77777777" w:rsidR="005F25FE" w:rsidRPr="005F25FE" w:rsidRDefault="005F25FE" w:rsidP="005F25FE">
      <w:pPr>
        <w:spacing w:before="120" w:after="0" w:line="240" w:lineRule="auto"/>
        <w:ind w:left="284"/>
        <w:jc w:val="both"/>
        <w:rPr>
          <w:rFonts w:ascii="Arial" w:hAnsi="Arial" w:cs="Arial"/>
          <w:sz w:val="20"/>
          <w:szCs w:val="20"/>
        </w:rPr>
      </w:pPr>
      <w:r w:rsidRPr="005F25FE">
        <w:rPr>
          <w:rFonts w:ascii="Arial" w:hAnsi="Arial" w:cs="Arial"/>
          <w:sz w:val="20"/>
          <w:szCs w:val="20"/>
        </w:rPr>
        <w:t>Arrêtent :</w:t>
      </w:r>
    </w:p>
    <w:p w14:paraId="216CB878" w14:textId="0169400E" w:rsidR="005F25FE" w:rsidRPr="005F25FE" w:rsidRDefault="005F25FE" w:rsidP="005F25FE">
      <w:pPr>
        <w:spacing w:before="120" w:after="0" w:line="240" w:lineRule="auto"/>
        <w:ind w:left="284"/>
        <w:jc w:val="both"/>
        <w:rPr>
          <w:rFonts w:ascii="Arial" w:hAnsi="Arial" w:cs="Arial"/>
          <w:sz w:val="20"/>
          <w:szCs w:val="20"/>
        </w:rPr>
      </w:pPr>
      <w:r w:rsidRPr="005F25FE">
        <w:rPr>
          <w:rFonts w:ascii="Arial" w:hAnsi="Arial" w:cs="Arial"/>
          <w:b/>
          <w:bCs/>
          <w:i/>
          <w:iCs/>
          <w:sz w:val="20"/>
          <w:szCs w:val="20"/>
        </w:rPr>
        <w:t>Article premier</w:t>
      </w:r>
      <w:r>
        <w:rPr>
          <w:rFonts w:ascii="Arial" w:hAnsi="Arial" w:cs="Arial"/>
          <w:b/>
          <w:bCs/>
          <w:i/>
          <w:iCs/>
          <w:sz w:val="20"/>
          <w:szCs w:val="20"/>
        </w:rPr>
        <w:t xml:space="preserve"> – </w:t>
      </w:r>
      <w:r w:rsidRPr="005F25FE">
        <w:rPr>
          <w:rFonts w:ascii="Arial" w:hAnsi="Arial" w:cs="Arial"/>
          <w:sz w:val="20"/>
          <w:szCs w:val="20"/>
        </w:rPr>
        <w:t xml:space="preserve">En application des dispositions de l’article 11 du </w:t>
      </w:r>
      <w:hyperlink r:id="rId8" w:history="1">
        <w:r w:rsidRPr="003F5341">
          <w:rPr>
            <w:rStyle w:val="Lienhypertexte"/>
            <w:rFonts w:ascii="Arial" w:hAnsi="Arial" w:cs="Arial"/>
            <w:sz w:val="20"/>
            <w:szCs w:val="20"/>
          </w:rPr>
          <w:t>décret n° 2014-3505 du 30 septembre 2014, fixant les conditions d'attribution des prêts et d'octroi des subventions par la caisse des prêts et de soutien des collectivités locales</w:t>
        </w:r>
      </w:hyperlink>
      <w:r w:rsidRPr="005F25FE">
        <w:rPr>
          <w:rFonts w:ascii="Arial" w:hAnsi="Arial" w:cs="Arial"/>
          <w:sz w:val="20"/>
          <w:szCs w:val="20"/>
        </w:rPr>
        <w:t xml:space="preserve"> susvisé, l'évaluation annuelle et indépendante de la performance des communes, est opérée par le corps de contrôle général des services publics conformément aux dispositions du décret n° 2013-3232 du 12 août 2013 susvisé, et ce, selon les critères indiqués dans le présent arrêté.</w:t>
      </w:r>
    </w:p>
    <w:p w14:paraId="510CA50D" w14:textId="2FA29986" w:rsidR="005F25FE" w:rsidRDefault="005F25FE" w:rsidP="003F5341">
      <w:pPr>
        <w:spacing w:before="120" w:after="0" w:line="240" w:lineRule="auto"/>
        <w:ind w:left="284"/>
        <w:jc w:val="both"/>
        <w:rPr>
          <w:rFonts w:ascii="Arial" w:hAnsi="Arial" w:cs="Arial"/>
          <w:sz w:val="20"/>
          <w:szCs w:val="20"/>
        </w:rPr>
      </w:pPr>
      <w:r w:rsidRPr="003F5341">
        <w:rPr>
          <w:rFonts w:ascii="Arial" w:hAnsi="Arial" w:cs="Arial"/>
          <w:b/>
          <w:bCs/>
          <w:i/>
          <w:iCs/>
          <w:sz w:val="20"/>
          <w:szCs w:val="20"/>
        </w:rPr>
        <w:lastRenderedPageBreak/>
        <w:t>Art. 2 -</w:t>
      </w:r>
      <w:r w:rsidRPr="005F25FE">
        <w:rPr>
          <w:rFonts w:ascii="Arial" w:hAnsi="Arial" w:cs="Arial"/>
          <w:sz w:val="20"/>
          <w:szCs w:val="20"/>
        </w:rPr>
        <w:t xml:space="preserve"> Les domaines et les critères d’évaluation de la performance, permettant aux communes de bénéficier des subventions annuelles non affectées, sont fixées conformément aux indications du tableau suivant :</w:t>
      </w:r>
    </w:p>
    <w:tbl>
      <w:tblPr>
        <w:tblStyle w:val="Grilledutableau"/>
        <w:tblW w:w="0" w:type="auto"/>
        <w:tblInd w:w="284" w:type="dxa"/>
        <w:tblLook w:val="04A0" w:firstRow="1" w:lastRow="0" w:firstColumn="1" w:lastColumn="0" w:noHBand="0" w:noVBand="1"/>
      </w:tblPr>
      <w:tblGrid>
        <w:gridCol w:w="3397"/>
        <w:gridCol w:w="1559"/>
        <w:gridCol w:w="4386"/>
      </w:tblGrid>
      <w:tr w:rsidR="003F5341" w14:paraId="3751E3F9" w14:textId="77777777" w:rsidTr="003F5341">
        <w:tc>
          <w:tcPr>
            <w:tcW w:w="3397" w:type="dxa"/>
            <w:vAlign w:val="center"/>
          </w:tcPr>
          <w:p w14:paraId="660E0CEE" w14:textId="654486C5" w:rsidR="003F5341" w:rsidRPr="003F5341" w:rsidRDefault="003F5341" w:rsidP="003F5341">
            <w:pPr>
              <w:spacing w:after="0" w:line="240" w:lineRule="auto"/>
              <w:jc w:val="center"/>
              <w:rPr>
                <w:rFonts w:ascii="Arial" w:hAnsi="Arial" w:cs="Arial"/>
                <w:b/>
                <w:bCs/>
                <w:sz w:val="20"/>
                <w:szCs w:val="20"/>
              </w:rPr>
            </w:pPr>
            <w:r w:rsidRPr="003F5341">
              <w:rPr>
                <w:rFonts w:ascii="Arial" w:hAnsi="Arial" w:cs="Arial"/>
                <w:b/>
                <w:bCs/>
                <w:sz w:val="20"/>
                <w:szCs w:val="20"/>
              </w:rPr>
              <w:t>Domaine</w:t>
            </w:r>
          </w:p>
        </w:tc>
        <w:tc>
          <w:tcPr>
            <w:tcW w:w="1559" w:type="dxa"/>
            <w:vAlign w:val="center"/>
          </w:tcPr>
          <w:p w14:paraId="44130012" w14:textId="03517E56" w:rsidR="003F5341" w:rsidRPr="003F5341" w:rsidRDefault="003F5341" w:rsidP="003F5341">
            <w:pPr>
              <w:spacing w:after="0" w:line="240" w:lineRule="auto"/>
              <w:jc w:val="center"/>
              <w:rPr>
                <w:rFonts w:ascii="Arial" w:hAnsi="Arial" w:cs="Arial"/>
                <w:b/>
                <w:bCs/>
                <w:sz w:val="20"/>
                <w:szCs w:val="20"/>
              </w:rPr>
            </w:pPr>
            <w:r w:rsidRPr="003F5341">
              <w:rPr>
                <w:rFonts w:ascii="Arial" w:hAnsi="Arial" w:cs="Arial"/>
                <w:b/>
                <w:bCs/>
                <w:sz w:val="20"/>
                <w:szCs w:val="20"/>
              </w:rPr>
              <w:t>N° du Critère</w:t>
            </w:r>
          </w:p>
        </w:tc>
        <w:tc>
          <w:tcPr>
            <w:tcW w:w="4386" w:type="dxa"/>
            <w:vAlign w:val="center"/>
          </w:tcPr>
          <w:p w14:paraId="27F684D0" w14:textId="10F3266F" w:rsidR="003F5341" w:rsidRPr="003F5341" w:rsidRDefault="003F5341" w:rsidP="003F5341">
            <w:pPr>
              <w:spacing w:after="0" w:line="240" w:lineRule="auto"/>
              <w:jc w:val="center"/>
              <w:rPr>
                <w:rFonts w:ascii="Arial" w:hAnsi="Arial" w:cs="Arial"/>
                <w:b/>
                <w:bCs/>
                <w:sz w:val="20"/>
                <w:szCs w:val="20"/>
              </w:rPr>
            </w:pPr>
            <w:r w:rsidRPr="003F5341">
              <w:rPr>
                <w:rFonts w:ascii="Arial" w:hAnsi="Arial" w:cs="Arial"/>
                <w:b/>
                <w:bCs/>
                <w:sz w:val="20"/>
                <w:szCs w:val="20"/>
              </w:rPr>
              <w:t>Critère d’évaluation de la performance des communes</w:t>
            </w:r>
          </w:p>
        </w:tc>
      </w:tr>
      <w:tr w:rsidR="003F5341" w14:paraId="6648C141" w14:textId="77777777" w:rsidTr="003F5341">
        <w:tc>
          <w:tcPr>
            <w:tcW w:w="3397" w:type="dxa"/>
            <w:vMerge w:val="restart"/>
            <w:vAlign w:val="center"/>
          </w:tcPr>
          <w:p w14:paraId="5BA39B13" w14:textId="21F5F901" w:rsidR="003F5341" w:rsidRPr="003F5341" w:rsidRDefault="003F5341" w:rsidP="003F5341">
            <w:pPr>
              <w:spacing w:after="0" w:line="240" w:lineRule="auto"/>
              <w:jc w:val="center"/>
              <w:rPr>
                <w:rFonts w:ascii="Arial" w:hAnsi="Arial" w:cs="Arial"/>
                <w:b/>
                <w:bCs/>
                <w:sz w:val="20"/>
                <w:szCs w:val="20"/>
              </w:rPr>
            </w:pPr>
            <w:r w:rsidRPr="003F5341">
              <w:rPr>
                <w:rFonts w:ascii="Arial" w:hAnsi="Arial" w:cs="Arial"/>
                <w:b/>
                <w:bCs/>
                <w:sz w:val="20"/>
                <w:szCs w:val="20"/>
              </w:rPr>
              <w:t>1- Amélioration des services rendus</w:t>
            </w:r>
          </w:p>
        </w:tc>
        <w:tc>
          <w:tcPr>
            <w:tcW w:w="1559" w:type="dxa"/>
            <w:vAlign w:val="center"/>
          </w:tcPr>
          <w:p w14:paraId="2E811D04" w14:textId="0A41975A" w:rsidR="003F5341" w:rsidRDefault="003F5341" w:rsidP="003F5341">
            <w:pPr>
              <w:spacing w:after="0" w:line="240" w:lineRule="auto"/>
              <w:jc w:val="center"/>
              <w:rPr>
                <w:rFonts w:ascii="Arial" w:hAnsi="Arial" w:cs="Arial"/>
                <w:sz w:val="20"/>
                <w:szCs w:val="20"/>
              </w:rPr>
            </w:pPr>
            <w:r>
              <w:rPr>
                <w:rFonts w:ascii="Arial" w:hAnsi="Arial" w:cs="Arial"/>
                <w:sz w:val="20"/>
                <w:szCs w:val="20"/>
              </w:rPr>
              <w:t>1-1</w:t>
            </w:r>
          </w:p>
        </w:tc>
        <w:tc>
          <w:tcPr>
            <w:tcW w:w="4386" w:type="dxa"/>
          </w:tcPr>
          <w:p w14:paraId="2A42F89F" w14:textId="250E11DC" w:rsidR="003F5341" w:rsidRDefault="003F5341" w:rsidP="003F5341">
            <w:pPr>
              <w:spacing w:after="0" w:line="240" w:lineRule="auto"/>
              <w:jc w:val="both"/>
              <w:rPr>
                <w:rFonts w:ascii="Arial" w:hAnsi="Arial" w:cs="Arial"/>
                <w:sz w:val="20"/>
                <w:szCs w:val="20"/>
              </w:rPr>
            </w:pPr>
            <w:r w:rsidRPr="005F25FE">
              <w:rPr>
                <w:rFonts w:ascii="Arial" w:hAnsi="Arial" w:cs="Arial"/>
                <w:sz w:val="20"/>
                <w:szCs w:val="20"/>
              </w:rPr>
              <w:t>La réalisation financière du programme annuel d’investissement</w:t>
            </w:r>
          </w:p>
        </w:tc>
      </w:tr>
      <w:tr w:rsidR="003F5341" w14:paraId="590DCC05" w14:textId="77777777" w:rsidTr="003F5341">
        <w:tc>
          <w:tcPr>
            <w:tcW w:w="3397" w:type="dxa"/>
            <w:vMerge/>
            <w:vAlign w:val="center"/>
          </w:tcPr>
          <w:p w14:paraId="102ABE1F" w14:textId="77777777" w:rsidR="003F5341" w:rsidRPr="003F5341" w:rsidRDefault="003F5341" w:rsidP="003F5341">
            <w:pPr>
              <w:spacing w:after="0" w:line="240" w:lineRule="auto"/>
              <w:jc w:val="center"/>
              <w:rPr>
                <w:rFonts w:ascii="Arial" w:hAnsi="Arial" w:cs="Arial"/>
                <w:b/>
                <w:bCs/>
                <w:sz w:val="20"/>
                <w:szCs w:val="20"/>
              </w:rPr>
            </w:pPr>
          </w:p>
        </w:tc>
        <w:tc>
          <w:tcPr>
            <w:tcW w:w="1559" w:type="dxa"/>
            <w:vAlign w:val="center"/>
          </w:tcPr>
          <w:p w14:paraId="52CC6721" w14:textId="6E23DA54" w:rsidR="003F5341" w:rsidRDefault="003F5341" w:rsidP="003F5341">
            <w:pPr>
              <w:spacing w:after="0" w:line="240" w:lineRule="auto"/>
              <w:jc w:val="center"/>
              <w:rPr>
                <w:rFonts w:ascii="Arial" w:hAnsi="Arial" w:cs="Arial"/>
                <w:sz w:val="20"/>
                <w:szCs w:val="20"/>
              </w:rPr>
            </w:pPr>
            <w:r>
              <w:rPr>
                <w:rFonts w:ascii="Arial" w:hAnsi="Arial" w:cs="Arial"/>
                <w:sz w:val="20"/>
                <w:szCs w:val="20"/>
              </w:rPr>
              <w:t>1-2</w:t>
            </w:r>
          </w:p>
        </w:tc>
        <w:tc>
          <w:tcPr>
            <w:tcW w:w="4386" w:type="dxa"/>
          </w:tcPr>
          <w:p w14:paraId="069D3BDA" w14:textId="1761423D" w:rsidR="003F5341" w:rsidRDefault="003F5341" w:rsidP="003F5341">
            <w:pPr>
              <w:spacing w:after="0" w:line="240" w:lineRule="auto"/>
              <w:jc w:val="both"/>
              <w:rPr>
                <w:rFonts w:ascii="Arial" w:hAnsi="Arial" w:cs="Arial"/>
                <w:sz w:val="20"/>
                <w:szCs w:val="20"/>
              </w:rPr>
            </w:pPr>
            <w:r w:rsidRPr="005F25FE">
              <w:rPr>
                <w:rFonts w:ascii="Arial" w:hAnsi="Arial" w:cs="Arial"/>
                <w:sz w:val="20"/>
                <w:szCs w:val="20"/>
              </w:rPr>
              <w:t>L’exécution du plan prévisionnel des marchés publics</w:t>
            </w:r>
          </w:p>
        </w:tc>
      </w:tr>
      <w:tr w:rsidR="003F5341" w14:paraId="7C06F576" w14:textId="77777777" w:rsidTr="003F5341">
        <w:tc>
          <w:tcPr>
            <w:tcW w:w="3397" w:type="dxa"/>
            <w:vMerge/>
            <w:vAlign w:val="center"/>
          </w:tcPr>
          <w:p w14:paraId="0158D401" w14:textId="77777777" w:rsidR="003F5341" w:rsidRPr="003F5341" w:rsidRDefault="003F5341" w:rsidP="003F5341">
            <w:pPr>
              <w:spacing w:after="0" w:line="240" w:lineRule="auto"/>
              <w:jc w:val="center"/>
              <w:rPr>
                <w:rFonts w:ascii="Arial" w:hAnsi="Arial" w:cs="Arial"/>
                <w:b/>
                <w:bCs/>
                <w:sz w:val="20"/>
                <w:szCs w:val="20"/>
              </w:rPr>
            </w:pPr>
          </w:p>
        </w:tc>
        <w:tc>
          <w:tcPr>
            <w:tcW w:w="1559" w:type="dxa"/>
            <w:vAlign w:val="center"/>
          </w:tcPr>
          <w:p w14:paraId="47C9EB53" w14:textId="2C92E541" w:rsidR="003F5341" w:rsidRDefault="003F5341" w:rsidP="003F5341">
            <w:pPr>
              <w:spacing w:after="0" w:line="240" w:lineRule="auto"/>
              <w:jc w:val="center"/>
              <w:rPr>
                <w:rFonts w:ascii="Arial" w:hAnsi="Arial" w:cs="Arial"/>
                <w:sz w:val="20"/>
                <w:szCs w:val="20"/>
              </w:rPr>
            </w:pPr>
            <w:r>
              <w:rPr>
                <w:rFonts w:ascii="Arial" w:hAnsi="Arial" w:cs="Arial"/>
                <w:sz w:val="20"/>
                <w:szCs w:val="20"/>
              </w:rPr>
              <w:t>1-3</w:t>
            </w:r>
          </w:p>
        </w:tc>
        <w:tc>
          <w:tcPr>
            <w:tcW w:w="4386" w:type="dxa"/>
          </w:tcPr>
          <w:p w14:paraId="2855BB80" w14:textId="09950C0B" w:rsidR="003F5341" w:rsidRDefault="003F5341" w:rsidP="003F5341">
            <w:pPr>
              <w:spacing w:after="0" w:line="240" w:lineRule="auto"/>
              <w:jc w:val="both"/>
              <w:rPr>
                <w:rFonts w:ascii="Arial" w:hAnsi="Arial" w:cs="Arial"/>
                <w:sz w:val="20"/>
                <w:szCs w:val="20"/>
              </w:rPr>
            </w:pPr>
            <w:r w:rsidRPr="005F25FE">
              <w:rPr>
                <w:rFonts w:ascii="Arial" w:hAnsi="Arial" w:cs="Arial"/>
                <w:sz w:val="20"/>
                <w:szCs w:val="20"/>
              </w:rPr>
              <w:t xml:space="preserve">L’exécution du plan triennal de maintenance. </w:t>
            </w:r>
          </w:p>
        </w:tc>
      </w:tr>
      <w:tr w:rsidR="003F5341" w14:paraId="36799F64" w14:textId="77777777" w:rsidTr="003F5341">
        <w:tc>
          <w:tcPr>
            <w:tcW w:w="3397" w:type="dxa"/>
            <w:vMerge/>
            <w:vAlign w:val="center"/>
          </w:tcPr>
          <w:p w14:paraId="3203B983" w14:textId="77777777" w:rsidR="003F5341" w:rsidRPr="003F5341" w:rsidRDefault="003F5341" w:rsidP="003F5341">
            <w:pPr>
              <w:spacing w:after="0" w:line="240" w:lineRule="auto"/>
              <w:jc w:val="center"/>
              <w:rPr>
                <w:rFonts w:ascii="Arial" w:hAnsi="Arial" w:cs="Arial"/>
                <w:b/>
                <w:bCs/>
                <w:sz w:val="20"/>
                <w:szCs w:val="20"/>
              </w:rPr>
            </w:pPr>
          </w:p>
        </w:tc>
        <w:tc>
          <w:tcPr>
            <w:tcW w:w="1559" w:type="dxa"/>
            <w:vAlign w:val="center"/>
          </w:tcPr>
          <w:p w14:paraId="53F0A3FD" w14:textId="220C276D" w:rsidR="003F5341" w:rsidRDefault="003F5341" w:rsidP="003F5341">
            <w:pPr>
              <w:spacing w:after="0" w:line="240" w:lineRule="auto"/>
              <w:jc w:val="center"/>
              <w:rPr>
                <w:rFonts w:ascii="Arial" w:hAnsi="Arial" w:cs="Arial"/>
                <w:sz w:val="20"/>
                <w:szCs w:val="20"/>
              </w:rPr>
            </w:pPr>
            <w:r>
              <w:rPr>
                <w:rFonts w:ascii="Arial" w:hAnsi="Arial" w:cs="Arial"/>
                <w:sz w:val="20"/>
                <w:szCs w:val="20"/>
              </w:rPr>
              <w:t>1-4</w:t>
            </w:r>
          </w:p>
        </w:tc>
        <w:tc>
          <w:tcPr>
            <w:tcW w:w="4386" w:type="dxa"/>
          </w:tcPr>
          <w:p w14:paraId="51D0131A" w14:textId="06A54BDB" w:rsidR="003F5341" w:rsidRDefault="003F5341" w:rsidP="003F5341">
            <w:pPr>
              <w:spacing w:after="0" w:line="240" w:lineRule="auto"/>
              <w:jc w:val="both"/>
              <w:rPr>
                <w:rFonts w:ascii="Arial" w:hAnsi="Arial" w:cs="Arial"/>
                <w:sz w:val="20"/>
                <w:szCs w:val="20"/>
              </w:rPr>
            </w:pPr>
            <w:r w:rsidRPr="005F25FE">
              <w:rPr>
                <w:rFonts w:ascii="Arial" w:hAnsi="Arial" w:cs="Arial"/>
                <w:sz w:val="20"/>
                <w:szCs w:val="20"/>
              </w:rPr>
              <w:t>L’effort de la commune dans le domaine de propreté</w:t>
            </w:r>
          </w:p>
        </w:tc>
      </w:tr>
      <w:tr w:rsidR="003F5341" w14:paraId="6F61E937" w14:textId="77777777" w:rsidTr="003F5341">
        <w:tc>
          <w:tcPr>
            <w:tcW w:w="3397" w:type="dxa"/>
            <w:vMerge w:val="restart"/>
            <w:vAlign w:val="center"/>
          </w:tcPr>
          <w:p w14:paraId="769A7923" w14:textId="77777777" w:rsidR="003F5341" w:rsidRPr="003F5341" w:rsidRDefault="003F5341" w:rsidP="003F5341">
            <w:pPr>
              <w:spacing w:after="0" w:line="240" w:lineRule="auto"/>
              <w:jc w:val="center"/>
              <w:rPr>
                <w:rFonts w:ascii="Arial" w:hAnsi="Arial" w:cs="Arial"/>
                <w:b/>
                <w:bCs/>
                <w:sz w:val="20"/>
                <w:szCs w:val="20"/>
              </w:rPr>
            </w:pPr>
            <w:r w:rsidRPr="003F5341">
              <w:rPr>
                <w:rFonts w:ascii="Arial" w:hAnsi="Arial" w:cs="Arial"/>
                <w:b/>
                <w:bCs/>
                <w:sz w:val="20"/>
                <w:szCs w:val="20"/>
              </w:rPr>
              <w:t>2- Participation et Transparence</w:t>
            </w:r>
          </w:p>
          <w:p w14:paraId="72E49C16" w14:textId="77777777" w:rsidR="003F5341" w:rsidRPr="003F5341" w:rsidRDefault="003F5341" w:rsidP="003F5341">
            <w:pPr>
              <w:spacing w:after="0" w:line="240" w:lineRule="auto"/>
              <w:jc w:val="center"/>
              <w:rPr>
                <w:rFonts w:ascii="Arial" w:hAnsi="Arial" w:cs="Arial"/>
                <w:b/>
                <w:bCs/>
                <w:sz w:val="20"/>
                <w:szCs w:val="20"/>
              </w:rPr>
            </w:pPr>
          </w:p>
        </w:tc>
        <w:tc>
          <w:tcPr>
            <w:tcW w:w="1559" w:type="dxa"/>
            <w:vAlign w:val="center"/>
          </w:tcPr>
          <w:p w14:paraId="4744F340" w14:textId="29961110" w:rsidR="003F5341" w:rsidRDefault="003F5341" w:rsidP="003F5341">
            <w:pPr>
              <w:spacing w:after="0" w:line="240" w:lineRule="auto"/>
              <w:jc w:val="center"/>
              <w:rPr>
                <w:rFonts w:ascii="Arial" w:hAnsi="Arial" w:cs="Arial"/>
                <w:sz w:val="20"/>
                <w:szCs w:val="20"/>
              </w:rPr>
            </w:pPr>
            <w:r>
              <w:rPr>
                <w:rFonts w:ascii="Arial" w:hAnsi="Arial" w:cs="Arial"/>
                <w:sz w:val="20"/>
                <w:szCs w:val="20"/>
              </w:rPr>
              <w:t>2-1</w:t>
            </w:r>
          </w:p>
        </w:tc>
        <w:tc>
          <w:tcPr>
            <w:tcW w:w="4386" w:type="dxa"/>
          </w:tcPr>
          <w:p w14:paraId="3B34B072" w14:textId="2559C267" w:rsidR="003F5341" w:rsidRDefault="003F5341" w:rsidP="003F5341">
            <w:pPr>
              <w:spacing w:after="0" w:line="240" w:lineRule="auto"/>
              <w:jc w:val="both"/>
              <w:rPr>
                <w:rFonts w:ascii="Arial" w:hAnsi="Arial" w:cs="Arial"/>
                <w:sz w:val="20"/>
                <w:szCs w:val="20"/>
              </w:rPr>
            </w:pPr>
            <w:r w:rsidRPr="005F25FE">
              <w:rPr>
                <w:rFonts w:ascii="Arial" w:hAnsi="Arial" w:cs="Arial"/>
                <w:sz w:val="20"/>
                <w:szCs w:val="20"/>
              </w:rPr>
              <w:t xml:space="preserve">La participation des citoyens dans l’élaboration du programme annuel d’investissement. </w:t>
            </w:r>
          </w:p>
        </w:tc>
      </w:tr>
      <w:tr w:rsidR="003F5341" w14:paraId="708507BB" w14:textId="77777777" w:rsidTr="003F5341">
        <w:tc>
          <w:tcPr>
            <w:tcW w:w="3397" w:type="dxa"/>
            <w:vMerge/>
            <w:vAlign w:val="center"/>
          </w:tcPr>
          <w:p w14:paraId="1A3CE116" w14:textId="77777777" w:rsidR="003F5341" w:rsidRPr="003F5341" w:rsidRDefault="003F5341" w:rsidP="003F5341">
            <w:pPr>
              <w:spacing w:after="0" w:line="240" w:lineRule="auto"/>
              <w:jc w:val="center"/>
              <w:rPr>
                <w:rFonts w:ascii="Arial" w:hAnsi="Arial" w:cs="Arial"/>
                <w:b/>
                <w:bCs/>
                <w:sz w:val="20"/>
                <w:szCs w:val="20"/>
              </w:rPr>
            </w:pPr>
          </w:p>
        </w:tc>
        <w:tc>
          <w:tcPr>
            <w:tcW w:w="1559" w:type="dxa"/>
            <w:vAlign w:val="center"/>
          </w:tcPr>
          <w:p w14:paraId="2C93D772" w14:textId="5807B90D" w:rsidR="003F5341" w:rsidRDefault="003F5341" w:rsidP="003F5341">
            <w:pPr>
              <w:spacing w:after="0" w:line="240" w:lineRule="auto"/>
              <w:jc w:val="center"/>
              <w:rPr>
                <w:rFonts w:ascii="Arial" w:hAnsi="Arial" w:cs="Arial"/>
                <w:sz w:val="20"/>
                <w:szCs w:val="20"/>
              </w:rPr>
            </w:pPr>
            <w:r>
              <w:rPr>
                <w:rFonts w:ascii="Arial" w:hAnsi="Arial" w:cs="Arial"/>
                <w:sz w:val="20"/>
                <w:szCs w:val="20"/>
              </w:rPr>
              <w:t>2-2</w:t>
            </w:r>
          </w:p>
        </w:tc>
        <w:tc>
          <w:tcPr>
            <w:tcW w:w="4386" w:type="dxa"/>
          </w:tcPr>
          <w:p w14:paraId="3EBCEAB5" w14:textId="2AB82B71" w:rsidR="003F5341" w:rsidRDefault="003F5341" w:rsidP="003F5341">
            <w:pPr>
              <w:spacing w:after="0" w:line="240" w:lineRule="auto"/>
              <w:jc w:val="both"/>
              <w:rPr>
                <w:rFonts w:ascii="Arial" w:hAnsi="Arial" w:cs="Arial"/>
                <w:sz w:val="20"/>
                <w:szCs w:val="20"/>
              </w:rPr>
            </w:pPr>
            <w:r w:rsidRPr="005F25FE">
              <w:rPr>
                <w:rFonts w:ascii="Arial" w:hAnsi="Arial" w:cs="Arial"/>
                <w:sz w:val="20"/>
                <w:szCs w:val="20"/>
              </w:rPr>
              <w:t xml:space="preserve">L’accès aux documents municipaux. </w:t>
            </w:r>
          </w:p>
        </w:tc>
      </w:tr>
      <w:tr w:rsidR="003F5341" w14:paraId="2EE82792" w14:textId="77777777" w:rsidTr="003F5341">
        <w:tc>
          <w:tcPr>
            <w:tcW w:w="3397" w:type="dxa"/>
            <w:vMerge/>
            <w:vAlign w:val="center"/>
          </w:tcPr>
          <w:p w14:paraId="3A8672F1" w14:textId="77777777" w:rsidR="003F5341" w:rsidRPr="003F5341" w:rsidRDefault="003F5341" w:rsidP="003F5341">
            <w:pPr>
              <w:spacing w:after="0" w:line="240" w:lineRule="auto"/>
              <w:jc w:val="center"/>
              <w:rPr>
                <w:rFonts w:ascii="Arial" w:hAnsi="Arial" w:cs="Arial"/>
                <w:b/>
                <w:bCs/>
                <w:sz w:val="20"/>
                <w:szCs w:val="20"/>
              </w:rPr>
            </w:pPr>
          </w:p>
        </w:tc>
        <w:tc>
          <w:tcPr>
            <w:tcW w:w="1559" w:type="dxa"/>
            <w:vAlign w:val="center"/>
          </w:tcPr>
          <w:p w14:paraId="52F45181" w14:textId="6C3E759C" w:rsidR="003F5341" w:rsidRDefault="003F5341" w:rsidP="003F5341">
            <w:pPr>
              <w:spacing w:after="0" w:line="240" w:lineRule="auto"/>
              <w:jc w:val="center"/>
              <w:rPr>
                <w:rFonts w:ascii="Arial" w:hAnsi="Arial" w:cs="Arial"/>
                <w:sz w:val="20"/>
                <w:szCs w:val="20"/>
              </w:rPr>
            </w:pPr>
            <w:r>
              <w:rPr>
                <w:rFonts w:ascii="Arial" w:hAnsi="Arial" w:cs="Arial"/>
                <w:sz w:val="20"/>
                <w:szCs w:val="20"/>
              </w:rPr>
              <w:t>2-3</w:t>
            </w:r>
          </w:p>
        </w:tc>
        <w:tc>
          <w:tcPr>
            <w:tcW w:w="4386" w:type="dxa"/>
          </w:tcPr>
          <w:p w14:paraId="01E7A66C" w14:textId="3A92BF0D" w:rsidR="003F5341" w:rsidRDefault="003F5341" w:rsidP="003F5341">
            <w:pPr>
              <w:spacing w:after="0" w:line="240" w:lineRule="auto"/>
              <w:jc w:val="both"/>
              <w:rPr>
                <w:rFonts w:ascii="Arial" w:hAnsi="Arial" w:cs="Arial"/>
                <w:sz w:val="20"/>
                <w:szCs w:val="20"/>
              </w:rPr>
            </w:pPr>
            <w:r w:rsidRPr="005F25FE">
              <w:rPr>
                <w:rFonts w:ascii="Arial" w:hAnsi="Arial" w:cs="Arial"/>
                <w:sz w:val="20"/>
                <w:szCs w:val="20"/>
              </w:rPr>
              <w:t xml:space="preserve">Le traitement des plaintes dans un délai maximal de 21 jours. </w:t>
            </w:r>
          </w:p>
        </w:tc>
      </w:tr>
      <w:tr w:rsidR="003F5341" w14:paraId="5E9953C4" w14:textId="77777777" w:rsidTr="003F5341">
        <w:tc>
          <w:tcPr>
            <w:tcW w:w="3397" w:type="dxa"/>
            <w:vMerge/>
            <w:vAlign w:val="center"/>
          </w:tcPr>
          <w:p w14:paraId="54FDA84A" w14:textId="77777777" w:rsidR="003F5341" w:rsidRPr="003F5341" w:rsidRDefault="003F5341" w:rsidP="003F5341">
            <w:pPr>
              <w:spacing w:after="0" w:line="240" w:lineRule="auto"/>
              <w:jc w:val="center"/>
              <w:rPr>
                <w:rFonts w:ascii="Arial" w:hAnsi="Arial" w:cs="Arial"/>
                <w:b/>
                <w:bCs/>
                <w:sz w:val="20"/>
                <w:szCs w:val="20"/>
              </w:rPr>
            </w:pPr>
          </w:p>
        </w:tc>
        <w:tc>
          <w:tcPr>
            <w:tcW w:w="1559" w:type="dxa"/>
            <w:vAlign w:val="center"/>
          </w:tcPr>
          <w:p w14:paraId="222E13B3" w14:textId="1595E8DF" w:rsidR="003F5341" w:rsidRDefault="003F5341" w:rsidP="003F5341">
            <w:pPr>
              <w:spacing w:after="0" w:line="240" w:lineRule="auto"/>
              <w:jc w:val="center"/>
              <w:rPr>
                <w:rFonts w:ascii="Arial" w:hAnsi="Arial" w:cs="Arial"/>
                <w:sz w:val="20"/>
                <w:szCs w:val="20"/>
              </w:rPr>
            </w:pPr>
            <w:r>
              <w:rPr>
                <w:rFonts w:ascii="Arial" w:hAnsi="Arial" w:cs="Arial"/>
                <w:sz w:val="20"/>
                <w:szCs w:val="20"/>
              </w:rPr>
              <w:t>2-4</w:t>
            </w:r>
          </w:p>
        </w:tc>
        <w:tc>
          <w:tcPr>
            <w:tcW w:w="4386" w:type="dxa"/>
          </w:tcPr>
          <w:p w14:paraId="5CB67452" w14:textId="2352CD17" w:rsidR="003F5341" w:rsidRPr="005F25FE" w:rsidRDefault="003F5341" w:rsidP="003F5341">
            <w:pPr>
              <w:spacing w:after="0" w:line="240" w:lineRule="auto"/>
              <w:jc w:val="both"/>
              <w:rPr>
                <w:rFonts w:ascii="Arial" w:hAnsi="Arial" w:cs="Arial"/>
                <w:sz w:val="20"/>
                <w:szCs w:val="20"/>
              </w:rPr>
            </w:pPr>
            <w:r w:rsidRPr="005F25FE">
              <w:rPr>
                <w:rFonts w:ascii="Arial" w:hAnsi="Arial" w:cs="Arial"/>
                <w:sz w:val="20"/>
                <w:szCs w:val="20"/>
              </w:rPr>
              <w:t xml:space="preserve">Le respect des procédures environnementales et sociales. </w:t>
            </w:r>
          </w:p>
        </w:tc>
      </w:tr>
      <w:tr w:rsidR="003F5341" w14:paraId="03092A29" w14:textId="77777777" w:rsidTr="003F5341">
        <w:tc>
          <w:tcPr>
            <w:tcW w:w="3397" w:type="dxa"/>
            <w:vMerge w:val="restart"/>
            <w:vAlign w:val="center"/>
          </w:tcPr>
          <w:p w14:paraId="15B1D9EB" w14:textId="3D3E0D20" w:rsidR="003F5341" w:rsidRPr="003F5341" w:rsidRDefault="003F5341" w:rsidP="003F5341">
            <w:pPr>
              <w:spacing w:after="0" w:line="240" w:lineRule="auto"/>
              <w:jc w:val="center"/>
              <w:rPr>
                <w:rFonts w:ascii="Arial" w:hAnsi="Arial" w:cs="Arial"/>
                <w:b/>
                <w:bCs/>
                <w:sz w:val="20"/>
                <w:szCs w:val="20"/>
              </w:rPr>
            </w:pPr>
            <w:r w:rsidRPr="003F5341">
              <w:rPr>
                <w:rFonts w:ascii="Arial" w:hAnsi="Arial" w:cs="Arial"/>
                <w:b/>
                <w:bCs/>
                <w:sz w:val="20"/>
                <w:szCs w:val="20"/>
              </w:rPr>
              <w:t xml:space="preserve">3- </w:t>
            </w:r>
            <w:r w:rsidRPr="003F5341">
              <w:rPr>
                <w:rFonts w:ascii="Arial" w:hAnsi="Arial" w:cs="Arial"/>
                <w:b/>
                <w:bCs/>
                <w:sz w:val="20"/>
                <w:szCs w:val="20"/>
              </w:rPr>
              <w:t>Amélioration des ressources</w:t>
            </w:r>
          </w:p>
        </w:tc>
        <w:tc>
          <w:tcPr>
            <w:tcW w:w="1559" w:type="dxa"/>
            <w:vAlign w:val="center"/>
          </w:tcPr>
          <w:p w14:paraId="6301D7E6" w14:textId="60288440" w:rsidR="003F5341" w:rsidRDefault="003F5341" w:rsidP="003F5341">
            <w:pPr>
              <w:spacing w:after="0" w:line="240" w:lineRule="auto"/>
              <w:jc w:val="center"/>
              <w:rPr>
                <w:rFonts w:ascii="Arial" w:hAnsi="Arial" w:cs="Arial"/>
                <w:sz w:val="20"/>
                <w:szCs w:val="20"/>
              </w:rPr>
            </w:pPr>
            <w:r>
              <w:rPr>
                <w:rFonts w:ascii="Arial" w:hAnsi="Arial" w:cs="Arial"/>
                <w:sz w:val="20"/>
                <w:szCs w:val="20"/>
              </w:rPr>
              <w:t>3-1</w:t>
            </w:r>
          </w:p>
        </w:tc>
        <w:tc>
          <w:tcPr>
            <w:tcW w:w="4386" w:type="dxa"/>
          </w:tcPr>
          <w:p w14:paraId="58C46FFD" w14:textId="0DF98629" w:rsidR="003F5341" w:rsidRPr="005F25FE" w:rsidRDefault="003F5341" w:rsidP="003F5341">
            <w:pPr>
              <w:spacing w:after="0" w:line="240" w:lineRule="auto"/>
              <w:jc w:val="both"/>
              <w:rPr>
                <w:rFonts w:ascii="Arial" w:hAnsi="Arial" w:cs="Arial"/>
                <w:sz w:val="20"/>
                <w:szCs w:val="20"/>
              </w:rPr>
            </w:pPr>
            <w:r w:rsidRPr="005F25FE">
              <w:rPr>
                <w:rFonts w:ascii="Arial" w:hAnsi="Arial" w:cs="Arial"/>
                <w:sz w:val="20"/>
                <w:szCs w:val="20"/>
              </w:rPr>
              <w:t>Le programme annuel de renforcement des capacités reflète les sujets et les thèmes ayant fait l’objet de défaillance retracées dans le rapport annuel d’évaluation de la performance et les rapports d’audit de la cour des comptes</w:t>
            </w:r>
          </w:p>
        </w:tc>
      </w:tr>
      <w:tr w:rsidR="003F5341" w14:paraId="4F6DC410" w14:textId="77777777" w:rsidTr="003F5341">
        <w:tc>
          <w:tcPr>
            <w:tcW w:w="3397" w:type="dxa"/>
            <w:vMerge/>
          </w:tcPr>
          <w:p w14:paraId="4EF399E8" w14:textId="77777777" w:rsidR="003F5341" w:rsidRDefault="003F5341" w:rsidP="003F5341">
            <w:pPr>
              <w:spacing w:after="0" w:line="240" w:lineRule="auto"/>
              <w:jc w:val="both"/>
              <w:rPr>
                <w:rFonts w:ascii="Arial" w:hAnsi="Arial" w:cs="Arial"/>
                <w:sz w:val="20"/>
                <w:szCs w:val="20"/>
              </w:rPr>
            </w:pPr>
          </w:p>
        </w:tc>
        <w:tc>
          <w:tcPr>
            <w:tcW w:w="1559" w:type="dxa"/>
            <w:vAlign w:val="center"/>
          </w:tcPr>
          <w:p w14:paraId="72643AC3" w14:textId="1304D679" w:rsidR="003F5341" w:rsidRDefault="003F5341" w:rsidP="003F5341">
            <w:pPr>
              <w:spacing w:after="0" w:line="240" w:lineRule="auto"/>
              <w:jc w:val="center"/>
              <w:rPr>
                <w:rFonts w:ascii="Arial" w:hAnsi="Arial" w:cs="Arial"/>
                <w:sz w:val="20"/>
                <w:szCs w:val="20"/>
              </w:rPr>
            </w:pPr>
            <w:r>
              <w:rPr>
                <w:rFonts w:ascii="Arial" w:hAnsi="Arial" w:cs="Arial"/>
                <w:sz w:val="20"/>
                <w:szCs w:val="20"/>
              </w:rPr>
              <w:t>3-2</w:t>
            </w:r>
          </w:p>
        </w:tc>
        <w:tc>
          <w:tcPr>
            <w:tcW w:w="4386" w:type="dxa"/>
          </w:tcPr>
          <w:p w14:paraId="0A2F30BF" w14:textId="6B8E979C" w:rsidR="003F5341" w:rsidRPr="005F25FE" w:rsidRDefault="003F5341" w:rsidP="003F5341">
            <w:pPr>
              <w:spacing w:after="0" w:line="240" w:lineRule="auto"/>
              <w:jc w:val="both"/>
              <w:rPr>
                <w:rFonts w:ascii="Arial" w:hAnsi="Arial" w:cs="Arial"/>
                <w:sz w:val="20"/>
                <w:szCs w:val="20"/>
              </w:rPr>
            </w:pPr>
            <w:r w:rsidRPr="005F25FE">
              <w:rPr>
                <w:rFonts w:ascii="Arial" w:hAnsi="Arial" w:cs="Arial"/>
                <w:sz w:val="20"/>
                <w:szCs w:val="20"/>
              </w:rPr>
              <w:t>L’adoption des outils de gestion et leur utilisation dans la gestion des ressources humaines, notamment dans le cadre de l’élaboration d’un plan prévisionnel actualisé des emplois et des compétences</w:t>
            </w:r>
            <w:r>
              <w:rPr>
                <w:rFonts w:ascii="Arial" w:hAnsi="Arial" w:cs="Arial"/>
                <w:sz w:val="20"/>
                <w:szCs w:val="20"/>
              </w:rPr>
              <w:t>3-2</w:t>
            </w:r>
          </w:p>
        </w:tc>
      </w:tr>
      <w:tr w:rsidR="003F5341" w14:paraId="418E2B4E" w14:textId="77777777" w:rsidTr="003F5341">
        <w:tc>
          <w:tcPr>
            <w:tcW w:w="3397" w:type="dxa"/>
            <w:vMerge/>
          </w:tcPr>
          <w:p w14:paraId="0E84C608" w14:textId="77777777" w:rsidR="003F5341" w:rsidRDefault="003F5341" w:rsidP="003F5341">
            <w:pPr>
              <w:spacing w:after="0" w:line="240" w:lineRule="auto"/>
              <w:jc w:val="both"/>
              <w:rPr>
                <w:rFonts w:ascii="Arial" w:hAnsi="Arial" w:cs="Arial"/>
                <w:sz w:val="20"/>
                <w:szCs w:val="20"/>
              </w:rPr>
            </w:pPr>
          </w:p>
        </w:tc>
        <w:tc>
          <w:tcPr>
            <w:tcW w:w="1559" w:type="dxa"/>
            <w:vAlign w:val="center"/>
          </w:tcPr>
          <w:p w14:paraId="16ADD61C" w14:textId="0AE3045C" w:rsidR="003F5341" w:rsidRDefault="003F5341" w:rsidP="003F5341">
            <w:pPr>
              <w:spacing w:after="0" w:line="240" w:lineRule="auto"/>
              <w:jc w:val="center"/>
              <w:rPr>
                <w:rFonts w:ascii="Arial" w:hAnsi="Arial" w:cs="Arial"/>
                <w:sz w:val="20"/>
                <w:szCs w:val="20"/>
              </w:rPr>
            </w:pPr>
            <w:r>
              <w:rPr>
                <w:rFonts w:ascii="Arial" w:hAnsi="Arial" w:cs="Arial"/>
                <w:sz w:val="20"/>
                <w:szCs w:val="20"/>
              </w:rPr>
              <w:t>3-3</w:t>
            </w:r>
          </w:p>
        </w:tc>
        <w:tc>
          <w:tcPr>
            <w:tcW w:w="4386" w:type="dxa"/>
          </w:tcPr>
          <w:p w14:paraId="25FBA24D" w14:textId="5B163542" w:rsidR="003F5341" w:rsidRPr="005F25FE" w:rsidRDefault="003F5341" w:rsidP="003F5341">
            <w:pPr>
              <w:spacing w:after="0" w:line="240" w:lineRule="auto"/>
              <w:jc w:val="both"/>
              <w:rPr>
                <w:rFonts w:ascii="Arial" w:hAnsi="Arial" w:cs="Arial"/>
                <w:sz w:val="20"/>
                <w:szCs w:val="20"/>
              </w:rPr>
            </w:pPr>
            <w:r w:rsidRPr="005F25FE">
              <w:rPr>
                <w:rFonts w:ascii="Arial" w:hAnsi="Arial" w:cs="Arial"/>
                <w:sz w:val="20"/>
                <w:szCs w:val="20"/>
              </w:rPr>
              <w:t xml:space="preserve">Le règlement de l’état des dettes inscrites au plan d’assainissement des dettes. </w:t>
            </w:r>
          </w:p>
        </w:tc>
      </w:tr>
      <w:tr w:rsidR="003F5341" w14:paraId="466E4CDD" w14:textId="77777777" w:rsidTr="003F5341">
        <w:tc>
          <w:tcPr>
            <w:tcW w:w="3397" w:type="dxa"/>
            <w:vMerge/>
          </w:tcPr>
          <w:p w14:paraId="2C16D918" w14:textId="77777777" w:rsidR="003F5341" w:rsidRDefault="003F5341" w:rsidP="003F5341">
            <w:pPr>
              <w:spacing w:after="0" w:line="240" w:lineRule="auto"/>
              <w:jc w:val="both"/>
              <w:rPr>
                <w:rFonts w:ascii="Arial" w:hAnsi="Arial" w:cs="Arial"/>
                <w:sz w:val="20"/>
                <w:szCs w:val="20"/>
              </w:rPr>
            </w:pPr>
          </w:p>
        </w:tc>
        <w:tc>
          <w:tcPr>
            <w:tcW w:w="1559" w:type="dxa"/>
            <w:vAlign w:val="center"/>
          </w:tcPr>
          <w:p w14:paraId="03933B6C" w14:textId="321C123F" w:rsidR="003F5341" w:rsidRDefault="003F5341" w:rsidP="003F5341">
            <w:pPr>
              <w:spacing w:after="0" w:line="240" w:lineRule="auto"/>
              <w:jc w:val="center"/>
              <w:rPr>
                <w:rFonts w:ascii="Arial" w:hAnsi="Arial" w:cs="Arial"/>
                <w:sz w:val="20"/>
                <w:szCs w:val="20"/>
              </w:rPr>
            </w:pPr>
            <w:r>
              <w:rPr>
                <w:rFonts w:ascii="Arial" w:hAnsi="Arial" w:cs="Arial"/>
                <w:sz w:val="20"/>
                <w:szCs w:val="20"/>
              </w:rPr>
              <w:t>3-4</w:t>
            </w:r>
          </w:p>
        </w:tc>
        <w:tc>
          <w:tcPr>
            <w:tcW w:w="4386" w:type="dxa"/>
          </w:tcPr>
          <w:p w14:paraId="425B5F92" w14:textId="6EF522DA" w:rsidR="003F5341" w:rsidRPr="005F25FE" w:rsidRDefault="003F5341" w:rsidP="003F5341">
            <w:pPr>
              <w:spacing w:after="0" w:line="240" w:lineRule="auto"/>
              <w:jc w:val="both"/>
              <w:rPr>
                <w:rFonts w:ascii="Arial" w:hAnsi="Arial" w:cs="Arial"/>
                <w:sz w:val="20"/>
                <w:szCs w:val="20"/>
              </w:rPr>
            </w:pPr>
            <w:r w:rsidRPr="005F25FE">
              <w:rPr>
                <w:rFonts w:ascii="Arial" w:hAnsi="Arial" w:cs="Arial"/>
                <w:sz w:val="20"/>
                <w:szCs w:val="20"/>
              </w:rPr>
              <w:t xml:space="preserve">L’évolution des ressources propres perçues. </w:t>
            </w:r>
          </w:p>
        </w:tc>
      </w:tr>
    </w:tbl>
    <w:p w14:paraId="62FE6C4C" w14:textId="4B99395C" w:rsidR="005F25FE" w:rsidRPr="005F25FE" w:rsidRDefault="005F25FE" w:rsidP="005F25FE">
      <w:pPr>
        <w:spacing w:before="120" w:after="0" w:line="240" w:lineRule="auto"/>
        <w:ind w:left="284"/>
        <w:jc w:val="both"/>
        <w:rPr>
          <w:rFonts w:ascii="Arial" w:hAnsi="Arial" w:cs="Arial"/>
          <w:sz w:val="20"/>
          <w:szCs w:val="20"/>
        </w:rPr>
      </w:pPr>
      <w:r w:rsidRPr="003F5341">
        <w:rPr>
          <w:rFonts w:ascii="Arial" w:hAnsi="Arial" w:cs="Arial"/>
          <w:b/>
          <w:bCs/>
          <w:i/>
          <w:iCs/>
          <w:sz w:val="20"/>
          <w:szCs w:val="20"/>
        </w:rPr>
        <w:t>Art. 3</w:t>
      </w:r>
      <w:r w:rsidR="003F5341">
        <w:rPr>
          <w:rFonts w:ascii="Arial" w:hAnsi="Arial" w:cs="Arial"/>
          <w:b/>
          <w:bCs/>
          <w:i/>
          <w:iCs/>
          <w:sz w:val="20"/>
          <w:szCs w:val="20"/>
        </w:rPr>
        <w:t xml:space="preserve"> – </w:t>
      </w:r>
      <w:r w:rsidRPr="005F25FE">
        <w:rPr>
          <w:rFonts w:ascii="Arial" w:hAnsi="Arial" w:cs="Arial"/>
          <w:sz w:val="20"/>
          <w:szCs w:val="20"/>
        </w:rPr>
        <w:t xml:space="preserve">Le transfert de la subvention annuelle non affectée allouée par l'Etat au profit de la commune est subordonné à la réalisation des conditions minimales requises fixées par l’arrêté du ministre de </w:t>
      </w:r>
      <w:r w:rsidR="00E4777A" w:rsidRPr="005F25FE">
        <w:rPr>
          <w:rFonts w:ascii="Arial" w:hAnsi="Arial" w:cs="Arial"/>
          <w:sz w:val="20"/>
          <w:szCs w:val="20"/>
        </w:rPr>
        <w:t>l’Intérieur</w:t>
      </w:r>
      <w:r w:rsidRPr="005F25FE">
        <w:rPr>
          <w:rFonts w:ascii="Arial" w:hAnsi="Arial" w:cs="Arial"/>
          <w:sz w:val="20"/>
          <w:szCs w:val="20"/>
        </w:rPr>
        <w:t xml:space="preserve"> et du ministre des </w:t>
      </w:r>
      <w:r w:rsidR="00E4777A" w:rsidRPr="005F25FE">
        <w:rPr>
          <w:rFonts w:ascii="Arial" w:hAnsi="Arial" w:cs="Arial"/>
          <w:sz w:val="20"/>
          <w:szCs w:val="20"/>
        </w:rPr>
        <w:t>Finances</w:t>
      </w:r>
      <w:r w:rsidRPr="005F25FE">
        <w:rPr>
          <w:rFonts w:ascii="Arial" w:hAnsi="Arial" w:cs="Arial"/>
          <w:sz w:val="20"/>
          <w:szCs w:val="20"/>
        </w:rPr>
        <w:t xml:space="preserve"> du 13 juillet 2015, susvisé. Les résultats d’évaluation de sa performance servent de base à moduler le montant de la subvention mentionnée, et ce, selon le système d’évaluation indiqué dans le guide opérationnel adopté.</w:t>
      </w:r>
    </w:p>
    <w:p w14:paraId="558D87FC" w14:textId="0EA8D572" w:rsidR="005F25FE" w:rsidRPr="005F25FE" w:rsidRDefault="005F25FE" w:rsidP="005F25FE">
      <w:pPr>
        <w:spacing w:before="120" w:after="0" w:line="240" w:lineRule="auto"/>
        <w:ind w:left="284"/>
        <w:jc w:val="both"/>
        <w:rPr>
          <w:rFonts w:ascii="Arial" w:hAnsi="Arial" w:cs="Arial"/>
          <w:sz w:val="20"/>
          <w:szCs w:val="20"/>
        </w:rPr>
      </w:pPr>
      <w:r w:rsidRPr="003F5341">
        <w:rPr>
          <w:rFonts w:ascii="Arial" w:hAnsi="Arial" w:cs="Arial"/>
          <w:b/>
          <w:bCs/>
          <w:i/>
          <w:iCs/>
          <w:sz w:val="20"/>
          <w:szCs w:val="20"/>
        </w:rPr>
        <w:t>Art. 4</w:t>
      </w:r>
      <w:r w:rsidR="003F5341">
        <w:rPr>
          <w:rFonts w:ascii="Arial" w:hAnsi="Arial" w:cs="Arial"/>
          <w:b/>
          <w:bCs/>
          <w:i/>
          <w:iCs/>
          <w:sz w:val="20"/>
          <w:szCs w:val="20"/>
        </w:rPr>
        <w:t xml:space="preserve"> – </w:t>
      </w:r>
      <w:r w:rsidRPr="005F25FE">
        <w:rPr>
          <w:rFonts w:ascii="Arial" w:hAnsi="Arial" w:cs="Arial"/>
          <w:sz w:val="20"/>
          <w:szCs w:val="20"/>
        </w:rPr>
        <w:t>Le montant de la subvention annuelle non affectée allouée par l'Etat au profit de la commune, est réparti selon les taux indiqués au tableau suivant :</w:t>
      </w:r>
    </w:p>
    <w:tbl>
      <w:tblPr>
        <w:tblStyle w:val="Grilledutableau"/>
        <w:tblW w:w="9342" w:type="dxa"/>
        <w:tblInd w:w="284" w:type="dxa"/>
        <w:tblLook w:val="04A0" w:firstRow="1" w:lastRow="0" w:firstColumn="1" w:lastColumn="0" w:noHBand="0" w:noVBand="1"/>
      </w:tblPr>
      <w:tblGrid>
        <w:gridCol w:w="6266"/>
        <w:gridCol w:w="1562"/>
        <w:gridCol w:w="1514"/>
      </w:tblGrid>
      <w:tr w:rsidR="00C258F3" w14:paraId="3BBFA562" w14:textId="7889FD91" w:rsidTr="00C258F3">
        <w:tc>
          <w:tcPr>
            <w:tcW w:w="6266" w:type="dxa"/>
          </w:tcPr>
          <w:p w14:paraId="1CF46C9F" w14:textId="033D1B8C" w:rsidR="00C258F3" w:rsidRPr="00312522" w:rsidRDefault="00C258F3" w:rsidP="00C258F3">
            <w:pPr>
              <w:spacing w:after="0" w:line="240" w:lineRule="auto"/>
              <w:jc w:val="center"/>
              <w:rPr>
                <w:rFonts w:ascii="Arial" w:hAnsi="Arial" w:cs="Arial"/>
                <w:b/>
                <w:bCs/>
                <w:sz w:val="20"/>
                <w:szCs w:val="20"/>
              </w:rPr>
            </w:pPr>
            <w:r w:rsidRPr="00312522">
              <w:rPr>
                <w:rFonts w:ascii="Arial" w:hAnsi="Arial" w:cs="Arial"/>
                <w:b/>
                <w:bCs/>
                <w:sz w:val="20"/>
                <w:szCs w:val="20"/>
              </w:rPr>
              <w:t>Année de bénéfice de la subvention non affectée</w:t>
            </w:r>
          </w:p>
        </w:tc>
        <w:tc>
          <w:tcPr>
            <w:tcW w:w="1562" w:type="dxa"/>
          </w:tcPr>
          <w:p w14:paraId="67F7CF26" w14:textId="197D17FD" w:rsidR="00C258F3" w:rsidRPr="00312522" w:rsidRDefault="00C258F3" w:rsidP="00C258F3">
            <w:pPr>
              <w:spacing w:after="0" w:line="240" w:lineRule="auto"/>
              <w:jc w:val="center"/>
              <w:rPr>
                <w:rFonts w:ascii="Arial" w:hAnsi="Arial" w:cs="Arial"/>
                <w:b/>
                <w:bCs/>
                <w:sz w:val="20"/>
                <w:szCs w:val="20"/>
              </w:rPr>
            </w:pPr>
            <w:r w:rsidRPr="00312522">
              <w:rPr>
                <w:rFonts w:ascii="Arial" w:hAnsi="Arial" w:cs="Arial"/>
                <w:b/>
                <w:bCs/>
                <w:sz w:val="20"/>
                <w:szCs w:val="20"/>
              </w:rPr>
              <w:t>2021</w:t>
            </w:r>
          </w:p>
        </w:tc>
        <w:tc>
          <w:tcPr>
            <w:tcW w:w="1514" w:type="dxa"/>
          </w:tcPr>
          <w:p w14:paraId="60D198B6" w14:textId="3804E0C8" w:rsidR="00C258F3" w:rsidRPr="00C258F3" w:rsidRDefault="00C258F3" w:rsidP="00C258F3">
            <w:pPr>
              <w:spacing w:after="0" w:line="240" w:lineRule="auto"/>
              <w:jc w:val="center"/>
              <w:rPr>
                <w:rFonts w:ascii="Arial" w:hAnsi="Arial" w:cs="Arial"/>
                <w:b/>
                <w:bCs/>
                <w:sz w:val="20"/>
                <w:szCs w:val="20"/>
              </w:rPr>
            </w:pPr>
            <w:r w:rsidRPr="00C258F3">
              <w:rPr>
                <w:rFonts w:ascii="Arial" w:hAnsi="Arial" w:cs="Arial"/>
                <w:b/>
                <w:bCs/>
                <w:sz w:val="20"/>
                <w:szCs w:val="20"/>
              </w:rPr>
              <w:t>2022</w:t>
            </w:r>
          </w:p>
        </w:tc>
      </w:tr>
      <w:tr w:rsidR="00C258F3" w14:paraId="1E3B01C3" w14:textId="63DC73D4" w:rsidTr="00C258F3">
        <w:tc>
          <w:tcPr>
            <w:tcW w:w="6266" w:type="dxa"/>
          </w:tcPr>
          <w:p w14:paraId="42388408" w14:textId="67557CB9" w:rsidR="00C258F3" w:rsidRDefault="00C258F3" w:rsidP="00C258F3">
            <w:pPr>
              <w:spacing w:after="0" w:line="240" w:lineRule="auto"/>
              <w:jc w:val="both"/>
              <w:rPr>
                <w:rFonts w:ascii="Arial" w:hAnsi="Arial" w:cs="Arial"/>
                <w:sz w:val="20"/>
                <w:szCs w:val="20"/>
              </w:rPr>
            </w:pPr>
            <w:r w:rsidRPr="005F25FE">
              <w:rPr>
                <w:rFonts w:ascii="Arial" w:hAnsi="Arial" w:cs="Arial"/>
                <w:sz w:val="20"/>
                <w:szCs w:val="20"/>
              </w:rPr>
              <w:t>Taux lié à la réalisation des conditions minimales requises</w:t>
            </w:r>
          </w:p>
        </w:tc>
        <w:tc>
          <w:tcPr>
            <w:tcW w:w="1562" w:type="dxa"/>
          </w:tcPr>
          <w:p w14:paraId="0D2E022C" w14:textId="61B8C912" w:rsidR="00C258F3" w:rsidRDefault="00C258F3" w:rsidP="00C258F3">
            <w:pPr>
              <w:spacing w:after="0" w:line="240" w:lineRule="auto"/>
              <w:jc w:val="center"/>
              <w:rPr>
                <w:rFonts w:ascii="Arial" w:hAnsi="Arial" w:cs="Arial"/>
                <w:sz w:val="20"/>
                <w:szCs w:val="20"/>
              </w:rPr>
            </w:pPr>
            <w:r w:rsidRPr="005F25FE">
              <w:rPr>
                <w:rFonts w:ascii="Arial" w:hAnsi="Arial" w:cs="Arial"/>
                <w:sz w:val="20"/>
                <w:szCs w:val="20"/>
              </w:rPr>
              <w:t>50%</w:t>
            </w:r>
          </w:p>
        </w:tc>
        <w:tc>
          <w:tcPr>
            <w:tcW w:w="1514" w:type="dxa"/>
          </w:tcPr>
          <w:p w14:paraId="1B547392" w14:textId="2E303BA3" w:rsidR="00C258F3" w:rsidRPr="005F25FE" w:rsidRDefault="00C258F3" w:rsidP="00C258F3">
            <w:pPr>
              <w:spacing w:after="0" w:line="240" w:lineRule="auto"/>
              <w:jc w:val="center"/>
              <w:rPr>
                <w:rFonts w:ascii="Arial" w:hAnsi="Arial" w:cs="Arial"/>
                <w:sz w:val="20"/>
                <w:szCs w:val="20"/>
              </w:rPr>
            </w:pPr>
            <w:r w:rsidRPr="00C258F3">
              <w:rPr>
                <w:rFonts w:ascii="Arial" w:hAnsi="Arial" w:cs="Arial"/>
                <w:sz w:val="20"/>
                <w:szCs w:val="20"/>
              </w:rPr>
              <w:t>50%</w:t>
            </w:r>
          </w:p>
        </w:tc>
      </w:tr>
      <w:tr w:rsidR="00C258F3" w14:paraId="34CBD404" w14:textId="11E25C91" w:rsidTr="00C258F3">
        <w:tc>
          <w:tcPr>
            <w:tcW w:w="6266" w:type="dxa"/>
          </w:tcPr>
          <w:p w14:paraId="14C997EF" w14:textId="459D9E5E" w:rsidR="00C258F3" w:rsidRPr="005F25FE" w:rsidRDefault="00C258F3" w:rsidP="00C258F3">
            <w:pPr>
              <w:spacing w:after="0" w:line="240" w:lineRule="auto"/>
              <w:jc w:val="both"/>
              <w:rPr>
                <w:rFonts w:ascii="Arial" w:hAnsi="Arial" w:cs="Arial"/>
                <w:sz w:val="20"/>
                <w:szCs w:val="20"/>
              </w:rPr>
            </w:pPr>
            <w:r w:rsidRPr="005F25FE">
              <w:rPr>
                <w:rFonts w:ascii="Arial" w:hAnsi="Arial" w:cs="Arial"/>
                <w:sz w:val="20"/>
                <w:szCs w:val="20"/>
              </w:rPr>
              <w:t>Taux lié à l’atteinte du score minimum de points au titre de l’évaluation de la performance</w:t>
            </w:r>
          </w:p>
        </w:tc>
        <w:tc>
          <w:tcPr>
            <w:tcW w:w="1562" w:type="dxa"/>
          </w:tcPr>
          <w:p w14:paraId="14D67781" w14:textId="0679C77F" w:rsidR="00C258F3" w:rsidRPr="005F25FE" w:rsidRDefault="00C258F3" w:rsidP="00C258F3">
            <w:pPr>
              <w:spacing w:after="0" w:line="240" w:lineRule="auto"/>
              <w:jc w:val="center"/>
              <w:rPr>
                <w:rFonts w:ascii="Arial" w:hAnsi="Arial" w:cs="Arial"/>
                <w:sz w:val="20"/>
                <w:szCs w:val="20"/>
              </w:rPr>
            </w:pPr>
            <w:r w:rsidRPr="005F25FE">
              <w:rPr>
                <w:rFonts w:ascii="Arial" w:hAnsi="Arial" w:cs="Arial"/>
                <w:sz w:val="20"/>
                <w:szCs w:val="20"/>
              </w:rPr>
              <w:t>50%</w:t>
            </w:r>
          </w:p>
        </w:tc>
        <w:tc>
          <w:tcPr>
            <w:tcW w:w="1514" w:type="dxa"/>
          </w:tcPr>
          <w:p w14:paraId="3405E6D1" w14:textId="0B6CB409" w:rsidR="00C258F3" w:rsidRPr="005F25FE" w:rsidRDefault="00C258F3" w:rsidP="00C258F3">
            <w:pPr>
              <w:spacing w:after="0" w:line="240" w:lineRule="auto"/>
              <w:jc w:val="center"/>
              <w:rPr>
                <w:rFonts w:ascii="Arial" w:hAnsi="Arial" w:cs="Arial"/>
                <w:sz w:val="20"/>
                <w:szCs w:val="20"/>
              </w:rPr>
            </w:pPr>
            <w:r w:rsidRPr="00C258F3">
              <w:rPr>
                <w:rFonts w:ascii="Arial" w:hAnsi="Arial" w:cs="Arial"/>
                <w:sz w:val="20"/>
                <w:szCs w:val="20"/>
              </w:rPr>
              <w:t>50%</w:t>
            </w:r>
          </w:p>
        </w:tc>
      </w:tr>
    </w:tbl>
    <w:p w14:paraId="7BC9F270" w14:textId="3E1195DF" w:rsidR="005F25FE" w:rsidRDefault="005F25FE" w:rsidP="00312522">
      <w:pPr>
        <w:spacing w:before="120" w:after="0" w:line="240" w:lineRule="auto"/>
        <w:ind w:left="284"/>
        <w:jc w:val="both"/>
        <w:rPr>
          <w:rFonts w:ascii="Arial" w:hAnsi="Arial" w:cs="Arial"/>
          <w:sz w:val="20"/>
          <w:szCs w:val="20"/>
        </w:rPr>
      </w:pPr>
      <w:r w:rsidRPr="00312522">
        <w:rPr>
          <w:rFonts w:ascii="Arial" w:hAnsi="Arial" w:cs="Arial"/>
          <w:b/>
          <w:bCs/>
          <w:i/>
          <w:iCs/>
          <w:sz w:val="20"/>
          <w:szCs w:val="20"/>
        </w:rPr>
        <w:t>Art. 5</w:t>
      </w:r>
      <w:r w:rsidR="00312522">
        <w:rPr>
          <w:rFonts w:ascii="Arial" w:hAnsi="Arial" w:cs="Arial"/>
          <w:b/>
          <w:bCs/>
          <w:i/>
          <w:iCs/>
          <w:sz w:val="20"/>
          <w:szCs w:val="20"/>
        </w:rPr>
        <w:t xml:space="preserve"> – </w:t>
      </w:r>
      <w:r w:rsidRPr="005F25FE">
        <w:rPr>
          <w:rFonts w:ascii="Arial" w:hAnsi="Arial" w:cs="Arial"/>
          <w:sz w:val="20"/>
          <w:szCs w:val="20"/>
        </w:rPr>
        <w:t>Le score final attribué à la commune au titre de l’évaluation de la performance au cours de l’année d’évaluation effective, sert de base au calcul de sa part de subvention annuelle non affectée pour l’année suivante. Le montant de la subvention non affectée dont bénéficie la commune est calculé proportionnellement sur la base du total des points obtenus par la commune selon la grille des paliers suivants :</w:t>
      </w:r>
    </w:p>
    <w:tbl>
      <w:tblPr>
        <w:tblStyle w:val="Grilledutableau"/>
        <w:tblW w:w="0" w:type="auto"/>
        <w:tblInd w:w="284" w:type="dxa"/>
        <w:tblLook w:val="04A0" w:firstRow="1" w:lastRow="0" w:firstColumn="1" w:lastColumn="0" w:noHBand="0" w:noVBand="1"/>
      </w:tblPr>
      <w:tblGrid>
        <w:gridCol w:w="1696"/>
        <w:gridCol w:w="2835"/>
        <w:gridCol w:w="4811"/>
      </w:tblGrid>
      <w:tr w:rsidR="00C258F3" w14:paraId="1B0E6C2B" w14:textId="77777777" w:rsidTr="00C258F3">
        <w:tc>
          <w:tcPr>
            <w:tcW w:w="1696" w:type="dxa"/>
            <w:vAlign w:val="center"/>
          </w:tcPr>
          <w:p w14:paraId="3297061C" w14:textId="3FC0EEBA" w:rsidR="00C258F3" w:rsidRPr="00C258F3" w:rsidRDefault="00C258F3" w:rsidP="00C258F3">
            <w:pPr>
              <w:spacing w:after="0" w:line="240" w:lineRule="auto"/>
              <w:jc w:val="center"/>
              <w:rPr>
                <w:rFonts w:ascii="Arial" w:hAnsi="Arial" w:cs="Arial"/>
                <w:b/>
                <w:bCs/>
                <w:sz w:val="20"/>
                <w:szCs w:val="20"/>
              </w:rPr>
            </w:pPr>
            <w:r w:rsidRPr="00C258F3">
              <w:rPr>
                <w:rFonts w:ascii="Arial" w:hAnsi="Arial" w:cs="Arial"/>
                <w:b/>
                <w:bCs/>
                <w:sz w:val="20"/>
                <w:szCs w:val="20"/>
              </w:rPr>
              <w:t>Grille des</w:t>
            </w:r>
            <w:r w:rsidRPr="00C258F3">
              <w:rPr>
                <w:rFonts w:ascii="Arial" w:hAnsi="Arial" w:cs="Arial"/>
                <w:b/>
                <w:bCs/>
                <w:sz w:val="20"/>
                <w:szCs w:val="20"/>
              </w:rPr>
              <w:t xml:space="preserve"> </w:t>
            </w:r>
            <w:r w:rsidRPr="00C258F3">
              <w:rPr>
                <w:rFonts w:ascii="Arial" w:hAnsi="Arial" w:cs="Arial"/>
                <w:b/>
                <w:bCs/>
                <w:sz w:val="20"/>
                <w:szCs w:val="20"/>
              </w:rPr>
              <w:t>paliers</w:t>
            </w:r>
          </w:p>
        </w:tc>
        <w:tc>
          <w:tcPr>
            <w:tcW w:w="2835" w:type="dxa"/>
            <w:vAlign w:val="center"/>
          </w:tcPr>
          <w:p w14:paraId="66D23750" w14:textId="1E168A9E" w:rsidR="00C258F3" w:rsidRPr="00C258F3" w:rsidRDefault="00C258F3" w:rsidP="00C258F3">
            <w:pPr>
              <w:spacing w:after="0" w:line="240" w:lineRule="auto"/>
              <w:jc w:val="center"/>
              <w:rPr>
                <w:rFonts w:ascii="Arial" w:hAnsi="Arial" w:cs="Arial"/>
                <w:b/>
                <w:bCs/>
                <w:sz w:val="20"/>
                <w:szCs w:val="20"/>
              </w:rPr>
            </w:pPr>
            <w:r w:rsidRPr="00C258F3">
              <w:rPr>
                <w:rFonts w:ascii="Arial" w:hAnsi="Arial" w:cs="Arial"/>
                <w:b/>
                <w:bCs/>
                <w:sz w:val="20"/>
                <w:szCs w:val="20"/>
              </w:rPr>
              <w:t>Score</w:t>
            </w:r>
          </w:p>
        </w:tc>
        <w:tc>
          <w:tcPr>
            <w:tcW w:w="4811" w:type="dxa"/>
            <w:vAlign w:val="center"/>
          </w:tcPr>
          <w:p w14:paraId="0AB76A62" w14:textId="77777777" w:rsidR="00C258F3" w:rsidRPr="00C258F3" w:rsidRDefault="00C258F3" w:rsidP="00C258F3">
            <w:pPr>
              <w:spacing w:after="0" w:line="240" w:lineRule="auto"/>
              <w:jc w:val="center"/>
              <w:rPr>
                <w:rFonts w:ascii="Arial" w:hAnsi="Arial" w:cs="Arial"/>
                <w:b/>
                <w:bCs/>
                <w:sz w:val="20"/>
                <w:szCs w:val="20"/>
              </w:rPr>
            </w:pPr>
            <w:r w:rsidRPr="00C258F3">
              <w:rPr>
                <w:rFonts w:ascii="Arial" w:hAnsi="Arial" w:cs="Arial"/>
                <w:b/>
                <w:bCs/>
                <w:sz w:val="20"/>
                <w:szCs w:val="20"/>
              </w:rPr>
              <w:t>Pourcentage du montant de subvention non affecté alloué à la commune</w:t>
            </w:r>
          </w:p>
          <w:p w14:paraId="29A0DB6B" w14:textId="14D47092" w:rsidR="00C258F3" w:rsidRPr="00C258F3" w:rsidRDefault="00C258F3" w:rsidP="00C258F3">
            <w:pPr>
              <w:spacing w:after="0" w:line="240" w:lineRule="auto"/>
              <w:jc w:val="center"/>
              <w:rPr>
                <w:rFonts w:ascii="Arial" w:hAnsi="Arial" w:cs="Arial"/>
                <w:b/>
                <w:bCs/>
                <w:sz w:val="20"/>
                <w:szCs w:val="20"/>
              </w:rPr>
            </w:pPr>
            <w:r w:rsidRPr="00C258F3">
              <w:rPr>
                <w:rFonts w:ascii="Arial" w:hAnsi="Arial" w:cs="Arial"/>
                <w:b/>
                <w:bCs/>
                <w:sz w:val="20"/>
                <w:szCs w:val="20"/>
              </w:rPr>
              <w:t>(Section d’évaluation de la performance) au titre de l’année de bénéfice</w:t>
            </w:r>
          </w:p>
        </w:tc>
      </w:tr>
      <w:tr w:rsidR="00C258F3" w14:paraId="3E211CFB" w14:textId="77777777" w:rsidTr="00C258F3">
        <w:tc>
          <w:tcPr>
            <w:tcW w:w="1696" w:type="dxa"/>
          </w:tcPr>
          <w:p w14:paraId="13586E5D" w14:textId="2526041C" w:rsidR="00C258F3" w:rsidRDefault="00C258F3" w:rsidP="00C258F3">
            <w:pPr>
              <w:spacing w:after="0" w:line="240" w:lineRule="auto"/>
              <w:jc w:val="both"/>
              <w:rPr>
                <w:rFonts w:ascii="Arial" w:hAnsi="Arial" w:cs="Arial"/>
                <w:sz w:val="20"/>
                <w:szCs w:val="20"/>
              </w:rPr>
            </w:pPr>
            <w:r w:rsidRPr="005F25FE">
              <w:rPr>
                <w:rFonts w:ascii="Arial" w:hAnsi="Arial" w:cs="Arial"/>
                <w:sz w:val="20"/>
                <w:szCs w:val="20"/>
              </w:rPr>
              <w:t>Palier 1</w:t>
            </w:r>
          </w:p>
        </w:tc>
        <w:tc>
          <w:tcPr>
            <w:tcW w:w="2835" w:type="dxa"/>
          </w:tcPr>
          <w:p w14:paraId="428E96DD" w14:textId="2DAE01C8" w:rsidR="00C258F3" w:rsidRDefault="00C258F3" w:rsidP="00C258F3">
            <w:pPr>
              <w:spacing w:after="0" w:line="240" w:lineRule="auto"/>
              <w:jc w:val="both"/>
              <w:rPr>
                <w:rFonts w:ascii="Arial" w:hAnsi="Arial" w:cs="Arial"/>
                <w:sz w:val="20"/>
                <w:szCs w:val="20"/>
              </w:rPr>
            </w:pPr>
            <w:r w:rsidRPr="005F25FE">
              <w:rPr>
                <w:rFonts w:ascii="Arial" w:hAnsi="Arial" w:cs="Arial"/>
                <w:sz w:val="20"/>
                <w:szCs w:val="20"/>
              </w:rPr>
              <w:t>Inférieur à 50 points</w:t>
            </w:r>
          </w:p>
        </w:tc>
        <w:tc>
          <w:tcPr>
            <w:tcW w:w="4811" w:type="dxa"/>
            <w:vAlign w:val="center"/>
          </w:tcPr>
          <w:p w14:paraId="733E7526" w14:textId="07871187" w:rsidR="00C258F3" w:rsidRDefault="00C258F3" w:rsidP="00C258F3">
            <w:pPr>
              <w:spacing w:after="0" w:line="240" w:lineRule="auto"/>
              <w:jc w:val="center"/>
              <w:rPr>
                <w:rFonts w:ascii="Arial" w:hAnsi="Arial" w:cs="Arial"/>
                <w:sz w:val="20"/>
                <w:szCs w:val="20"/>
              </w:rPr>
            </w:pPr>
            <w:r>
              <w:rPr>
                <w:rFonts w:ascii="Arial" w:hAnsi="Arial" w:cs="Arial"/>
                <w:sz w:val="20"/>
                <w:szCs w:val="20"/>
              </w:rPr>
              <w:t>0</w:t>
            </w:r>
          </w:p>
        </w:tc>
      </w:tr>
      <w:tr w:rsidR="00C258F3" w14:paraId="2CC9BB0D" w14:textId="77777777" w:rsidTr="00C258F3">
        <w:trPr>
          <w:trHeight w:val="301"/>
        </w:trPr>
        <w:tc>
          <w:tcPr>
            <w:tcW w:w="1696" w:type="dxa"/>
          </w:tcPr>
          <w:p w14:paraId="17618B7F" w14:textId="5D67F198" w:rsidR="00C258F3" w:rsidRDefault="00C258F3" w:rsidP="00C258F3">
            <w:pPr>
              <w:spacing w:after="0" w:line="240" w:lineRule="auto"/>
              <w:jc w:val="both"/>
              <w:rPr>
                <w:rFonts w:ascii="Arial" w:hAnsi="Arial" w:cs="Arial"/>
                <w:sz w:val="20"/>
                <w:szCs w:val="20"/>
              </w:rPr>
            </w:pPr>
            <w:r w:rsidRPr="005F25FE">
              <w:rPr>
                <w:rFonts w:ascii="Arial" w:hAnsi="Arial" w:cs="Arial"/>
                <w:sz w:val="20"/>
                <w:szCs w:val="20"/>
              </w:rPr>
              <w:t>Palier</w:t>
            </w:r>
            <w:r>
              <w:rPr>
                <w:rFonts w:ascii="Arial" w:hAnsi="Arial" w:cs="Arial"/>
                <w:sz w:val="20"/>
                <w:szCs w:val="20"/>
              </w:rPr>
              <w:t>2</w:t>
            </w:r>
          </w:p>
        </w:tc>
        <w:tc>
          <w:tcPr>
            <w:tcW w:w="2835" w:type="dxa"/>
          </w:tcPr>
          <w:p w14:paraId="14315776" w14:textId="2372A6FE" w:rsidR="00C258F3" w:rsidRDefault="00C258F3" w:rsidP="00C258F3">
            <w:pPr>
              <w:spacing w:after="0" w:line="240" w:lineRule="auto"/>
              <w:jc w:val="both"/>
              <w:rPr>
                <w:rFonts w:ascii="Arial" w:hAnsi="Arial" w:cs="Arial"/>
                <w:sz w:val="20"/>
                <w:szCs w:val="20"/>
              </w:rPr>
            </w:pPr>
            <w:r w:rsidRPr="005F25FE">
              <w:rPr>
                <w:rFonts w:ascii="Arial" w:hAnsi="Arial" w:cs="Arial"/>
                <w:sz w:val="20"/>
                <w:szCs w:val="20"/>
              </w:rPr>
              <w:t>De 50 points à 59 points</w:t>
            </w:r>
          </w:p>
        </w:tc>
        <w:tc>
          <w:tcPr>
            <w:tcW w:w="4811" w:type="dxa"/>
            <w:vAlign w:val="center"/>
          </w:tcPr>
          <w:p w14:paraId="43F518EB" w14:textId="015B2058" w:rsidR="00C258F3" w:rsidRDefault="00C258F3" w:rsidP="00C258F3">
            <w:pPr>
              <w:spacing w:after="0" w:line="240" w:lineRule="auto"/>
              <w:jc w:val="center"/>
              <w:rPr>
                <w:rFonts w:ascii="Arial" w:hAnsi="Arial" w:cs="Arial"/>
                <w:sz w:val="20"/>
                <w:szCs w:val="20"/>
              </w:rPr>
            </w:pPr>
            <w:r>
              <w:rPr>
                <w:rFonts w:ascii="Arial" w:hAnsi="Arial" w:cs="Arial"/>
                <w:sz w:val="20"/>
                <w:szCs w:val="20"/>
              </w:rPr>
              <w:t>60</w:t>
            </w:r>
          </w:p>
        </w:tc>
      </w:tr>
      <w:tr w:rsidR="00C258F3" w14:paraId="4E074D0B" w14:textId="77777777" w:rsidTr="00C258F3">
        <w:tc>
          <w:tcPr>
            <w:tcW w:w="1696" w:type="dxa"/>
          </w:tcPr>
          <w:p w14:paraId="5219A6BB" w14:textId="4B29022C" w:rsidR="00C258F3" w:rsidRDefault="00C258F3" w:rsidP="00C258F3">
            <w:pPr>
              <w:spacing w:after="0" w:line="240" w:lineRule="auto"/>
              <w:jc w:val="both"/>
              <w:rPr>
                <w:rFonts w:ascii="Arial" w:hAnsi="Arial" w:cs="Arial"/>
                <w:sz w:val="20"/>
                <w:szCs w:val="20"/>
              </w:rPr>
            </w:pPr>
            <w:r w:rsidRPr="005F25FE">
              <w:rPr>
                <w:rFonts w:ascii="Arial" w:hAnsi="Arial" w:cs="Arial"/>
                <w:sz w:val="20"/>
                <w:szCs w:val="20"/>
              </w:rPr>
              <w:t>Palier 3</w:t>
            </w:r>
          </w:p>
        </w:tc>
        <w:tc>
          <w:tcPr>
            <w:tcW w:w="2835" w:type="dxa"/>
          </w:tcPr>
          <w:p w14:paraId="3D1E38F0" w14:textId="697BAD20" w:rsidR="00C258F3" w:rsidRDefault="00C258F3" w:rsidP="00C258F3">
            <w:pPr>
              <w:spacing w:after="0" w:line="240" w:lineRule="auto"/>
              <w:jc w:val="both"/>
              <w:rPr>
                <w:rFonts w:ascii="Arial" w:hAnsi="Arial" w:cs="Arial"/>
                <w:sz w:val="20"/>
                <w:szCs w:val="20"/>
              </w:rPr>
            </w:pPr>
            <w:r w:rsidRPr="005F25FE">
              <w:rPr>
                <w:rFonts w:ascii="Arial" w:hAnsi="Arial" w:cs="Arial"/>
                <w:sz w:val="20"/>
                <w:szCs w:val="20"/>
              </w:rPr>
              <w:t>De 60 points à 69 point</w:t>
            </w:r>
            <w:r>
              <w:rPr>
                <w:rFonts w:ascii="Arial" w:hAnsi="Arial" w:cs="Arial"/>
                <w:sz w:val="20"/>
                <w:szCs w:val="20"/>
              </w:rPr>
              <w:t>s</w:t>
            </w:r>
          </w:p>
        </w:tc>
        <w:tc>
          <w:tcPr>
            <w:tcW w:w="4811" w:type="dxa"/>
            <w:vAlign w:val="center"/>
          </w:tcPr>
          <w:p w14:paraId="4B7B2355" w14:textId="58526E4B" w:rsidR="00C258F3" w:rsidRDefault="00C258F3" w:rsidP="00C258F3">
            <w:pPr>
              <w:spacing w:after="0" w:line="240" w:lineRule="auto"/>
              <w:jc w:val="center"/>
              <w:rPr>
                <w:rFonts w:ascii="Arial" w:hAnsi="Arial" w:cs="Arial"/>
                <w:sz w:val="20"/>
                <w:szCs w:val="20"/>
              </w:rPr>
            </w:pPr>
            <w:r>
              <w:rPr>
                <w:rFonts w:ascii="Arial" w:hAnsi="Arial" w:cs="Arial"/>
                <w:sz w:val="20"/>
                <w:szCs w:val="20"/>
              </w:rPr>
              <w:t>70</w:t>
            </w:r>
          </w:p>
        </w:tc>
      </w:tr>
      <w:tr w:rsidR="00C258F3" w14:paraId="5BE83798" w14:textId="77777777" w:rsidTr="00C258F3">
        <w:tc>
          <w:tcPr>
            <w:tcW w:w="1696" w:type="dxa"/>
          </w:tcPr>
          <w:p w14:paraId="09237EAF" w14:textId="52D08379" w:rsidR="00C258F3" w:rsidRDefault="00C258F3" w:rsidP="00C258F3">
            <w:pPr>
              <w:spacing w:after="0" w:line="240" w:lineRule="auto"/>
              <w:jc w:val="both"/>
              <w:rPr>
                <w:rFonts w:ascii="Arial" w:hAnsi="Arial" w:cs="Arial"/>
                <w:sz w:val="20"/>
                <w:szCs w:val="20"/>
              </w:rPr>
            </w:pPr>
            <w:r w:rsidRPr="005F25FE">
              <w:rPr>
                <w:rFonts w:ascii="Arial" w:hAnsi="Arial" w:cs="Arial"/>
                <w:sz w:val="20"/>
                <w:szCs w:val="20"/>
              </w:rPr>
              <w:t xml:space="preserve">Palier 4 </w:t>
            </w:r>
          </w:p>
        </w:tc>
        <w:tc>
          <w:tcPr>
            <w:tcW w:w="2835" w:type="dxa"/>
          </w:tcPr>
          <w:p w14:paraId="31BFB154" w14:textId="6D5E066A" w:rsidR="00C258F3" w:rsidRDefault="00C258F3" w:rsidP="00C258F3">
            <w:pPr>
              <w:spacing w:after="0" w:line="240" w:lineRule="auto"/>
              <w:jc w:val="both"/>
              <w:rPr>
                <w:rFonts w:ascii="Arial" w:hAnsi="Arial" w:cs="Arial"/>
                <w:sz w:val="20"/>
                <w:szCs w:val="20"/>
              </w:rPr>
            </w:pPr>
            <w:r w:rsidRPr="005F25FE">
              <w:rPr>
                <w:rFonts w:ascii="Arial" w:hAnsi="Arial" w:cs="Arial"/>
                <w:sz w:val="20"/>
                <w:szCs w:val="20"/>
              </w:rPr>
              <w:t xml:space="preserve">De 70 points à 79 points </w:t>
            </w:r>
          </w:p>
        </w:tc>
        <w:tc>
          <w:tcPr>
            <w:tcW w:w="4811" w:type="dxa"/>
            <w:vAlign w:val="center"/>
          </w:tcPr>
          <w:p w14:paraId="2202AE5F" w14:textId="0FC4024B" w:rsidR="00C258F3" w:rsidRDefault="00C258F3" w:rsidP="00C258F3">
            <w:pPr>
              <w:spacing w:after="0" w:line="240" w:lineRule="auto"/>
              <w:jc w:val="center"/>
              <w:rPr>
                <w:rFonts w:ascii="Arial" w:hAnsi="Arial" w:cs="Arial"/>
                <w:sz w:val="20"/>
                <w:szCs w:val="20"/>
              </w:rPr>
            </w:pPr>
            <w:r>
              <w:rPr>
                <w:rFonts w:ascii="Arial" w:hAnsi="Arial" w:cs="Arial"/>
                <w:sz w:val="20"/>
                <w:szCs w:val="20"/>
              </w:rPr>
              <w:t>80</w:t>
            </w:r>
          </w:p>
        </w:tc>
      </w:tr>
      <w:tr w:rsidR="00C258F3" w14:paraId="1BE9D0F7" w14:textId="77777777" w:rsidTr="00C258F3">
        <w:tc>
          <w:tcPr>
            <w:tcW w:w="1696" w:type="dxa"/>
          </w:tcPr>
          <w:p w14:paraId="76A9AE30" w14:textId="03AD3FDA" w:rsidR="00C258F3" w:rsidRDefault="00C258F3" w:rsidP="00C258F3">
            <w:pPr>
              <w:spacing w:after="0" w:line="240" w:lineRule="auto"/>
              <w:jc w:val="both"/>
              <w:rPr>
                <w:rFonts w:ascii="Arial" w:hAnsi="Arial" w:cs="Arial"/>
                <w:sz w:val="20"/>
                <w:szCs w:val="20"/>
              </w:rPr>
            </w:pPr>
            <w:r w:rsidRPr="005F25FE">
              <w:rPr>
                <w:rFonts w:ascii="Arial" w:hAnsi="Arial" w:cs="Arial"/>
                <w:sz w:val="20"/>
                <w:szCs w:val="20"/>
              </w:rPr>
              <w:t>Palier 5</w:t>
            </w:r>
          </w:p>
        </w:tc>
        <w:tc>
          <w:tcPr>
            <w:tcW w:w="2835" w:type="dxa"/>
          </w:tcPr>
          <w:p w14:paraId="668C5DD2" w14:textId="5E3209F7" w:rsidR="00C258F3" w:rsidRDefault="00C258F3" w:rsidP="00C258F3">
            <w:pPr>
              <w:spacing w:after="0" w:line="240" w:lineRule="auto"/>
              <w:jc w:val="both"/>
              <w:rPr>
                <w:rFonts w:ascii="Arial" w:hAnsi="Arial" w:cs="Arial"/>
                <w:sz w:val="20"/>
                <w:szCs w:val="20"/>
              </w:rPr>
            </w:pPr>
            <w:r>
              <w:rPr>
                <w:rFonts w:ascii="Arial" w:hAnsi="Arial" w:cs="Arial"/>
                <w:sz w:val="20"/>
                <w:szCs w:val="20"/>
              </w:rPr>
              <w:t>E</w:t>
            </w:r>
            <w:r w:rsidRPr="005F25FE">
              <w:rPr>
                <w:rFonts w:ascii="Arial" w:hAnsi="Arial" w:cs="Arial"/>
                <w:sz w:val="20"/>
                <w:szCs w:val="20"/>
              </w:rPr>
              <w:t>gal ou supérieur à 80 points</w:t>
            </w:r>
          </w:p>
        </w:tc>
        <w:tc>
          <w:tcPr>
            <w:tcW w:w="4811" w:type="dxa"/>
            <w:vAlign w:val="center"/>
          </w:tcPr>
          <w:p w14:paraId="31F84131" w14:textId="31936C78" w:rsidR="00C258F3" w:rsidRDefault="00C258F3" w:rsidP="00C258F3">
            <w:pPr>
              <w:spacing w:after="0" w:line="240" w:lineRule="auto"/>
              <w:jc w:val="center"/>
              <w:rPr>
                <w:rFonts w:ascii="Arial" w:hAnsi="Arial" w:cs="Arial"/>
                <w:sz w:val="20"/>
                <w:szCs w:val="20"/>
              </w:rPr>
            </w:pPr>
            <w:r>
              <w:rPr>
                <w:rFonts w:ascii="Arial" w:hAnsi="Arial" w:cs="Arial"/>
                <w:sz w:val="20"/>
                <w:szCs w:val="20"/>
              </w:rPr>
              <w:t>100</w:t>
            </w:r>
          </w:p>
        </w:tc>
      </w:tr>
    </w:tbl>
    <w:p w14:paraId="1B99FA24" w14:textId="10CAE124" w:rsidR="005F25FE" w:rsidRPr="005F25FE" w:rsidRDefault="005F25FE" w:rsidP="00312522">
      <w:pPr>
        <w:spacing w:before="120" w:after="0" w:line="240" w:lineRule="auto"/>
        <w:ind w:left="283"/>
        <w:jc w:val="both"/>
        <w:rPr>
          <w:rFonts w:ascii="Arial" w:hAnsi="Arial" w:cs="Arial"/>
          <w:sz w:val="20"/>
          <w:szCs w:val="20"/>
        </w:rPr>
      </w:pPr>
      <w:r w:rsidRPr="00501A36">
        <w:rPr>
          <w:rFonts w:ascii="Arial" w:hAnsi="Arial" w:cs="Arial"/>
          <w:b/>
          <w:bCs/>
          <w:i/>
          <w:iCs/>
          <w:sz w:val="20"/>
          <w:szCs w:val="20"/>
        </w:rPr>
        <w:lastRenderedPageBreak/>
        <w:t>Art. 6</w:t>
      </w:r>
      <w:r w:rsidR="00501A36" w:rsidRPr="00501A36">
        <w:rPr>
          <w:rFonts w:ascii="Arial" w:hAnsi="Arial" w:cs="Arial"/>
          <w:b/>
          <w:bCs/>
          <w:i/>
          <w:iCs/>
          <w:sz w:val="20"/>
          <w:szCs w:val="20"/>
        </w:rPr>
        <w:t xml:space="preserve"> –</w:t>
      </w:r>
      <w:r w:rsidR="00501A36">
        <w:rPr>
          <w:rFonts w:ascii="Arial" w:hAnsi="Arial" w:cs="Arial"/>
          <w:sz w:val="20"/>
          <w:szCs w:val="20"/>
        </w:rPr>
        <w:t xml:space="preserve"> </w:t>
      </w:r>
      <w:r w:rsidRPr="005F25FE">
        <w:rPr>
          <w:rFonts w:ascii="Arial" w:hAnsi="Arial" w:cs="Arial"/>
          <w:sz w:val="20"/>
          <w:szCs w:val="20"/>
        </w:rPr>
        <w:t>La part de la commune relative à la subvention non affectée au titre de l’évaluation de la performance est reportée en totalité si la commune obtient un score final inférieur à 50 points, ou en partie si la commune enregistre un écart entre la part totale réservée allouée et le montant réellement encaissé. Un tel report n’est possible qu’une seule fois l’année qui suit.</w:t>
      </w:r>
    </w:p>
    <w:p w14:paraId="7D1DF08B" w14:textId="522BD853" w:rsidR="005F25FE" w:rsidRPr="005F25FE" w:rsidRDefault="005F25FE" w:rsidP="005F25FE">
      <w:pPr>
        <w:spacing w:before="120" w:after="0" w:line="240" w:lineRule="auto"/>
        <w:ind w:left="284"/>
        <w:jc w:val="both"/>
        <w:rPr>
          <w:rFonts w:ascii="Arial" w:hAnsi="Arial" w:cs="Arial"/>
          <w:sz w:val="20"/>
          <w:szCs w:val="20"/>
        </w:rPr>
      </w:pPr>
      <w:r w:rsidRPr="0064529A">
        <w:rPr>
          <w:rFonts w:ascii="Arial" w:hAnsi="Arial" w:cs="Arial"/>
          <w:b/>
          <w:bCs/>
          <w:i/>
          <w:iCs/>
          <w:sz w:val="20"/>
          <w:szCs w:val="20"/>
        </w:rPr>
        <w:t>Art. 7</w:t>
      </w:r>
      <w:r w:rsidR="0064529A">
        <w:rPr>
          <w:rFonts w:ascii="Arial" w:hAnsi="Arial" w:cs="Arial"/>
          <w:b/>
          <w:bCs/>
          <w:i/>
          <w:iCs/>
          <w:sz w:val="20"/>
          <w:szCs w:val="20"/>
        </w:rPr>
        <w:t xml:space="preserve"> – </w:t>
      </w:r>
      <w:r w:rsidRPr="005F25FE">
        <w:rPr>
          <w:rFonts w:ascii="Arial" w:hAnsi="Arial" w:cs="Arial"/>
          <w:sz w:val="20"/>
          <w:szCs w:val="20"/>
        </w:rPr>
        <w:t>Les montants définitivement annulés pour la commune sont :</w:t>
      </w:r>
    </w:p>
    <w:p w14:paraId="00A210EA" w14:textId="289D70C9" w:rsidR="005F25FE" w:rsidRPr="00501A36" w:rsidRDefault="005F25FE" w:rsidP="003805F9">
      <w:pPr>
        <w:pStyle w:val="Paragraphedeliste"/>
        <w:numPr>
          <w:ilvl w:val="0"/>
          <w:numId w:val="1"/>
        </w:numPr>
        <w:spacing w:before="120" w:after="0" w:line="240" w:lineRule="auto"/>
        <w:ind w:left="927"/>
        <w:jc w:val="both"/>
        <w:rPr>
          <w:rFonts w:ascii="Arial" w:hAnsi="Arial" w:cs="Arial"/>
          <w:sz w:val="20"/>
          <w:szCs w:val="20"/>
        </w:rPr>
      </w:pPr>
      <w:r w:rsidRPr="00501A36">
        <w:rPr>
          <w:rFonts w:ascii="Arial" w:hAnsi="Arial" w:cs="Arial"/>
          <w:sz w:val="20"/>
          <w:szCs w:val="20"/>
        </w:rPr>
        <w:t>L’ensemble des montants reportés totalement ou partiellement au sens de l’article 6 du présent arrêté et dont la commune concernée n’a pas pu en bénéficier faute du score requis pendant l’année du report, après l’application des paliers mentionnés à l’article 5 du présent arrêté.</w:t>
      </w:r>
    </w:p>
    <w:p w14:paraId="646FA3C4" w14:textId="50A7B389" w:rsidR="005F25FE" w:rsidRPr="00501A36" w:rsidRDefault="005F25FE" w:rsidP="003805F9">
      <w:pPr>
        <w:pStyle w:val="Paragraphedeliste"/>
        <w:numPr>
          <w:ilvl w:val="0"/>
          <w:numId w:val="1"/>
        </w:numPr>
        <w:spacing w:before="120" w:after="0" w:line="240" w:lineRule="auto"/>
        <w:ind w:left="927"/>
        <w:jc w:val="both"/>
        <w:rPr>
          <w:rFonts w:ascii="Arial" w:hAnsi="Arial" w:cs="Arial"/>
          <w:sz w:val="20"/>
          <w:szCs w:val="20"/>
        </w:rPr>
      </w:pPr>
      <w:r w:rsidRPr="00501A36">
        <w:rPr>
          <w:rFonts w:ascii="Arial" w:hAnsi="Arial" w:cs="Arial"/>
          <w:sz w:val="20"/>
          <w:szCs w:val="20"/>
        </w:rPr>
        <w:t>L’ensemble des montants alloués à la commune au titre de l’année de bénéfice du report et le montant reporté totalement ou partiellement, et ce, en cas de fausse déclaration pour la deuxième fois.</w:t>
      </w:r>
    </w:p>
    <w:p w14:paraId="29EA9057" w14:textId="77777777" w:rsidR="005F25FE" w:rsidRPr="005F25FE" w:rsidRDefault="005F25FE" w:rsidP="005F25FE">
      <w:pPr>
        <w:spacing w:before="120" w:after="0" w:line="240" w:lineRule="auto"/>
        <w:ind w:left="284"/>
        <w:jc w:val="both"/>
        <w:rPr>
          <w:rFonts w:ascii="Arial" w:hAnsi="Arial" w:cs="Arial"/>
          <w:sz w:val="20"/>
          <w:szCs w:val="20"/>
        </w:rPr>
      </w:pPr>
      <w:r w:rsidRPr="005F25FE">
        <w:rPr>
          <w:rFonts w:ascii="Arial" w:hAnsi="Arial" w:cs="Arial"/>
          <w:sz w:val="20"/>
          <w:szCs w:val="20"/>
        </w:rPr>
        <w:t>Les montants annulés définitivement seront repartis pendant l’année de bénéfice du report au profit des communes qui ont obtenu un score égal ou supérieur à 90 points à part égale entre eux, à condition que ce montant ne dépasse pas 50% du montant de la subvention non affectée encaissée au titre de la même année.</w:t>
      </w:r>
    </w:p>
    <w:p w14:paraId="26B01B65" w14:textId="68F48D45" w:rsidR="005F25FE" w:rsidRPr="005F25FE" w:rsidRDefault="005F25FE" w:rsidP="005F25FE">
      <w:pPr>
        <w:spacing w:before="120" w:after="0" w:line="240" w:lineRule="auto"/>
        <w:ind w:left="284"/>
        <w:jc w:val="both"/>
        <w:rPr>
          <w:rFonts w:ascii="Arial" w:hAnsi="Arial" w:cs="Arial"/>
          <w:sz w:val="20"/>
          <w:szCs w:val="20"/>
        </w:rPr>
      </w:pPr>
      <w:r w:rsidRPr="00501A36">
        <w:rPr>
          <w:rFonts w:ascii="Arial" w:hAnsi="Arial" w:cs="Arial"/>
          <w:b/>
          <w:bCs/>
          <w:i/>
          <w:iCs/>
          <w:sz w:val="20"/>
          <w:szCs w:val="20"/>
        </w:rPr>
        <w:t>Art. 8</w:t>
      </w:r>
      <w:r w:rsidR="00501A36">
        <w:rPr>
          <w:rFonts w:ascii="Arial" w:hAnsi="Arial" w:cs="Arial"/>
          <w:b/>
          <w:bCs/>
          <w:i/>
          <w:iCs/>
          <w:sz w:val="20"/>
          <w:szCs w:val="20"/>
        </w:rPr>
        <w:t xml:space="preserve"> – </w:t>
      </w:r>
      <w:r w:rsidRPr="005F25FE">
        <w:rPr>
          <w:rFonts w:ascii="Arial" w:hAnsi="Arial" w:cs="Arial"/>
          <w:sz w:val="20"/>
          <w:szCs w:val="20"/>
        </w:rPr>
        <w:t>Sous réserve des dispositions de l’article 7 du présent arrêté, et en cas d’enregistrement de reliquat dans les montants annulés, ou au cas où aucune commune n’a obtenu un score égal ou supérieur à 90 points dans l’évaluation de la performance pendant l’année de répartition des montants annulés, ces reliquats seront redéployés l’année suivante à titre de subvention non affectée alloués à toutes les communes.</w:t>
      </w:r>
    </w:p>
    <w:p w14:paraId="4D17B799" w14:textId="78E0BC25" w:rsidR="005F25FE" w:rsidRPr="005F25FE" w:rsidRDefault="005F25FE" w:rsidP="005F25FE">
      <w:pPr>
        <w:spacing w:before="120" w:after="0" w:line="240" w:lineRule="auto"/>
        <w:ind w:left="284"/>
        <w:jc w:val="both"/>
        <w:rPr>
          <w:rFonts w:ascii="Arial" w:hAnsi="Arial" w:cs="Arial"/>
          <w:sz w:val="20"/>
          <w:szCs w:val="20"/>
        </w:rPr>
      </w:pPr>
      <w:r w:rsidRPr="00501A36">
        <w:rPr>
          <w:rFonts w:ascii="Arial" w:hAnsi="Arial" w:cs="Arial"/>
          <w:b/>
          <w:bCs/>
          <w:i/>
          <w:iCs/>
          <w:sz w:val="20"/>
          <w:szCs w:val="20"/>
        </w:rPr>
        <w:t>Art. 9</w:t>
      </w:r>
      <w:r w:rsidR="00501A36">
        <w:rPr>
          <w:rFonts w:ascii="Arial" w:hAnsi="Arial" w:cs="Arial"/>
          <w:b/>
          <w:bCs/>
          <w:i/>
          <w:iCs/>
          <w:sz w:val="20"/>
          <w:szCs w:val="20"/>
        </w:rPr>
        <w:t xml:space="preserve"> – </w:t>
      </w:r>
      <w:r w:rsidRPr="005F25FE">
        <w:rPr>
          <w:rFonts w:ascii="Arial" w:hAnsi="Arial" w:cs="Arial"/>
          <w:sz w:val="20"/>
          <w:szCs w:val="20"/>
        </w:rPr>
        <w:t>La caisse des prêts et de soutien des collectivités locales informe les communes dont la part de subvention non affectée a enregistré une augmentation en raison de leur bénéfice des montants d’intéressement prévus au deuxième paragraphe de l’article 7 du présent arrêté.</w:t>
      </w:r>
    </w:p>
    <w:p w14:paraId="21EB547B" w14:textId="1A3A27A4" w:rsidR="005F25FE" w:rsidRPr="005F25FE" w:rsidRDefault="005F25FE" w:rsidP="005F25FE">
      <w:pPr>
        <w:spacing w:before="120" w:after="0" w:line="240" w:lineRule="auto"/>
        <w:ind w:left="284"/>
        <w:jc w:val="both"/>
        <w:rPr>
          <w:rFonts w:ascii="Arial" w:hAnsi="Arial" w:cs="Arial"/>
          <w:sz w:val="20"/>
          <w:szCs w:val="20"/>
        </w:rPr>
      </w:pPr>
      <w:r w:rsidRPr="00501A36">
        <w:rPr>
          <w:rFonts w:ascii="Arial" w:hAnsi="Arial" w:cs="Arial"/>
          <w:b/>
          <w:bCs/>
          <w:i/>
          <w:iCs/>
          <w:sz w:val="20"/>
          <w:szCs w:val="20"/>
        </w:rPr>
        <w:t>Art. 1</w:t>
      </w:r>
      <w:r w:rsidR="00501A36">
        <w:rPr>
          <w:rFonts w:ascii="Arial" w:hAnsi="Arial" w:cs="Arial"/>
          <w:b/>
          <w:bCs/>
          <w:i/>
          <w:iCs/>
          <w:sz w:val="20"/>
          <w:szCs w:val="20"/>
        </w:rPr>
        <w:t xml:space="preserve">0 – </w:t>
      </w:r>
      <w:r w:rsidRPr="005F25FE">
        <w:rPr>
          <w:rFonts w:ascii="Arial" w:hAnsi="Arial" w:cs="Arial"/>
          <w:sz w:val="20"/>
          <w:szCs w:val="20"/>
        </w:rPr>
        <w:t>Le calendrier annuel de l'évaluation de la performance des communes, ses étapes, ses procédures et le rôle des intervenants sont fixés comme suit :</w:t>
      </w:r>
    </w:p>
    <w:p w14:paraId="5C14BBBD" w14:textId="23126CAB" w:rsidR="005F25FE" w:rsidRPr="00501A36" w:rsidRDefault="005F25FE" w:rsidP="003805F9">
      <w:pPr>
        <w:pStyle w:val="Paragraphedeliste"/>
        <w:numPr>
          <w:ilvl w:val="0"/>
          <w:numId w:val="2"/>
        </w:numPr>
        <w:spacing w:before="120" w:after="0" w:line="240" w:lineRule="auto"/>
        <w:ind w:left="927"/>
        <w:jc w:val="both"/>
        <w:rPr>
          <w:rFonts w:ascii="Arial" w:hAnsi="Arial" w:cs="Arial"/>
          <w:sz w:val="20"/>
          <w:szCs w:val="20"/>
        </w:rPr>
      </w:pPr>
      <w:r w:rsidRPr="00501A36">
        <w:rPr>
          <w:rFonts w:ascii="Arial" w:hAnsi="Arial" w:cs="Arial"/>
          <w:sz w:val="20"/>
          <w:szCs w:val="20"/>
        </w:rPr>
        <w:t>L'annonce du lancement du processus de l’évaluation :</w:t>
      </w:r>
    </w:p>
    <w:p w14:paraId="22731F53" w14:textId="64022236" w:rsidR="005F25FE" w:rsidRPr="00501A36" w:rsidRDefault="005F25FE" w:rsidP="003805F9">
      <w:pPr>
        <w:pStyle w:val="Paragraphedeliste"/>
        <w:numPr>
          <w:ilvl w:val="1"/>
          <w:numId w:val="3"/>
        </w:numPr>
        <w:spacing w:before="120" w:after="0" w:line="240" w:lineRule="auto"/>
        <w:ind w:left="1267"/>
        <w:jc w:val="both"/>
        <w:rPr>
          <w:rFonts w:ascii="Arial" w:hAnsi="Arial" w:cs="Arial"/>
          <w:sz w:val="20"/>
          <w:szCs w:val="20"/>
        </w:rPr>
      </w:pPr>
      <w:r w:rsidRPr="00501A36">
        <w:rPr>
          <w:rFonts w:ascii="Arial" w:hAnsi="Arial" w:cs="Arial"/>
          <w:sz w:val="20"/>
          <w:szCs w:val="20"/>
        </w:rPr>
        <w:t>Avant la fin du mois de février de chaque année, le ministère chargé des collectivités locales informe les communes du lancement du processus d'évaluation de la performance.</w:t>
      </w:r>
    </w:p>
    <w:p w14:paraId="35856894" w14:textId="6BE9BB3E" w:rsidR="005F25FE" w:rsidRPr="005F25FE" w:rsidRDefault="005F25FE" w:rsidP="003805F9">
      <w:pPr>
        <w:pStyle w:val="Paragraphedeliste"/>
        <w:numPr>
          <w:ilvl w:val="0"/>
          <w:numId w:val="2"/>
        </w:numPr>
        <w:spacing w:before="120" w:after="0" w:line="240" w:lineRule="auto"/>
        <w:ind w:left="927"/>
        <w:jc w:val="both"/>
        <w:rPr>
          <w:rFonts w:ascii="Arial" w:hAnsi="Arial" w:cs="Arial"/>
          <w:sz w:val="20"/>
          <w:szCs w:val="20"/>
        </w:rPr>
      </w:pPr>
      <w:r w:rsidRPr="005F25FE">
        <w:rPr>
          <w:rFonts w:ascii="Arial" w:hAnsi="Arial" w:cs="Arial"/>
          <w:sz w:val="20"/>
          <w:szCs w:val="20"/>
        </w:rPr>
        <w:t>Le dépôt du dossier d'évaluation :</w:t>
      </w:r>
    </w:p>
    <w:p w14:paraId="5A09BCCC" w14:textId="60BCDBAC" w:rsidR="005F25FE" w:rsidRPr="005F25FE" w:rsidRDefault="005F25FE" w:rsidP="003805F9">
      <w:pPr>
        <w:pStyle w:val="Paragraphedeliste"/>
        <w:numPr>
          <w:ilvl w:val="1"/>
          <w:numId w:val="3"/>
        </w:numPr>
        <w:spacing w:before="120" w:after="0" w:line="240" w:lineRule="auto"/>
        <w:ind w:left="1267"/>
        <w:jc w:val="both"/>
        <w:rPr>
          <w:rFonts w:ascii="Arial" w:hAnsi="Arial" w:cs="Arial"/>
          <w:sz w:val="20"/>
          <w:szCs w:val="20"/>
        </w:rPr>
      </w:pPr>
      <w:r w:rsidRPr="005F25FE">
        <w:rPr>
          <w:rFonts w:ascii="Arial" w:hAnsi="Arial" w:cs="Arial"/>
          <w:sz w:val="20"/>
          <w:szCs w:val="20"/>
        </w:rPr>
        <w:t>Au plus tard le 15 avril de chaque année, la commune dépose auprès du corps de contrôle général des services publics son dossier d’évaluation de la performance, suivant le modèle de demande d’évaluation indiqué dans le guide adopté. Tout dépôt de dossier après l’expiration du délai prescrit entraîne obligatoirement les procédures suivantes :</w:t>
      </w:r>
    </w:p>
    <w:p w14:paraId="429CBF71" w14:textId="08FA8451" w:rsidR="005F25FE" w:rsidRPr="00A173BE" w:rsidRDefault="005F25FE" w:rsidP="003805F9">
      <w:pPr>
        <w:pStyle w:val="Paragraphedeliste"/>
        <w:numPr>
          <w:ilvl w:val="0"/>
          <w:numId w:val="4"/>
        </w:numPr>
        <w:spacing w:before="120" w:after="0" w:line="240" w:lineRule="auto"/>
        <w:ind w:left="927"/>
        <w:jc w:val="both"/>
        <w:rPr>
          <w:rFonts w:ascii="Arial" w:hAnsi="Arial" w:cs="Arial"/>
          <w:sz w:val="20"/>
          <w:szCs w:val="20"/>
        </w:rPr>
      </w:pPr>
      <w:proofErr w:type="gramStart"/>
      <w:r w:rsidRPr="00A173BE">
        <w:rPr>
          <w:rFonts w:ascii="Arial" w:hAnsi="Arial" w:cs="Arial"/>
          <w:sz w:val="20"/>
          <w:szCs w:val="20"/>
        </w:rPr>
        <w:t>la</w:t>
      </w:r>
      <w:proofErr w:type="gramEnd"/>
      <w:r w:rsidRPr="00A173BE">
        <w:rPr>
          <w:rFonts w:ascii="Arial" w:hAnsi="Arial" w:cs="Arial"/>
          <w:sz w:val="20"/>
          <w:szCs w:val="20"/>
        </w:rPr>
        <w:t xml:space="preserve"> déduction de cinq (5) points, si la demande est déposée après le 15 avril.</w:t>
      </w:r>
    </w:p>
    <w:p w14:paraId="476BCD27" w14:textId="0DAA39EC" w:rsidR="00A173BE" w:rsidRDefault="005F25FE" w:rsidP="003805F9">
      <w:pPr>
        <w:pStyle w:val="Paragraphedeliste"/>
        <w:numPr>
          <w:ilvl w:val="0"/>
          <w:numId w:val="4"/>
        </w:numPr>
        <w:spacing w:before="120" w:after="0" w:line="240" w:lineRule="auto"/>
        <w:ind w:left="927"/>
        <w:jc w:val="both"/>
        <w:rPr>
          <w:rFonts w:ascii="Arial" w:hAnsi="Arial" w:cs="Arial"/>
          <w:sz w:val="20"/>
          <w:szCs w:val="20"/>
        </w:rPr>
      </w:pPr>
      <w:proofErr w:type="gramStart"/>
      <w:r w:rsidRPr="00A173BE">
        <w:rPr>
          <w:rFonts w:ascii="Arial" w:hAnsi="Arial" w:cs="Arial"/>
          <w:sz w:val="20"/>
          <w:szCs w:val="20"/>
        </w:rPr>
        <w:t>l’exclusion</w:t>
      </w:r>
      <w:proofErr w:type="gramEnd"/>
      <w:r w:rsidRPr="00A173BE">
        <w:rPr>
          <w:rFonts w:ascii="Arial" w:hAnsi="Arial" w:cs="Arial"/>
          <w:sz w:val="20"/>
          <w:szCs w:val="20"/>
        </w:rPr>
        <w:t xml:space="preserve"> du bénéfice de la subvention non affectée, si la demande est déposée après le 1er mai, sous réserve des dispositions de l’article 6 du présent arrêté</w:t>
      </w:r>
      <w:r w:rsidR="00A173BE">
        <w:rPr>
          <w:rFonts w:ascii="Arial" w:hAnsi="Arial" w:cs="Arial"/>
          <w:sz w:val="20"/>
          <w:szCs w:val="20"/>
        </w:rPr>
        <w:t>.</w:t>
      </w:r>
    </w:p>
    <w:p w14:paraId="677DBEBB" w14:textId="06B0CB16" w:rsidR="005F25FE" w:rsidRPr="00A173BE" w:rsidRDefault="005F25FE" w:rsidP="003805F9">
      <w:pPr>
        <w:pStyle w:val="Paragraphedeliste"/>
        <w:numPr>
          <w:ilvl w:val="0"/>
          <w:numId w:val="4"/>
        </w:numPr>
        <w:spacing w:before="120" w:after="0" w:line="240" w:lineRule="auto"/>
        <w:ind w:left="927"/>
        <w:jc w:val="both"/>
        <w:rPr>
          <w:rFonts w:ascii="Arial" w:hAnsi="Arial" w:cs="Arial"/>
          <w:sz w:val="20"/>
          <w:szCs w:val="20"/>
        </w:rPr>
      </w:pPr>
      <w:r w:rsidRPr="00A173BE">
        <w:rPr>
          <w:rFonts w:ascii="Arial" w:hAnsi="Arial" w:cs="Arial"/>
          <w:sz w:val="20"/>
          <w:szCs w:val="20"/>
        </w:rPr>
        <w:t>L’évaluation sur dossiers et la notation préliminaire :</w:t>
      </w:r>
    </w:p>
    <w:p w14:paraId="5E0AFF9F" w14:textId="04CB26BB" w:rsidR="005F25FE" w:rsidRPr="00A173BE" w:rsidRDefault="005F25FE" w:rsidP="003805F9">
      <w:pPr>
        <w:pStyle w:val="Paragraphedeliste"/>
        <w:numPr>
          <w:ilvl w:val="1"/>
          <w:numId w:val="3"/>
        </w:numPr>
        <w:spacing w:before="120" w:after="0" w:line="240" w:lineRule="auto"/>
        <w:ind w:left="1267"/>
        <w:jc w:val="both"/>
        <w:rPr>
          <w:rFonts w:ascii="Arial" w:hAnsi="Arial" w:cs="Arial"/>
          <w:sz w:val="20"/>
          <w:szCs w:val="20"/>
        </w:rPr>
      </w:pPr>
      <w:r w:rsidRPr="00A173BE">
        <w:rPr>
          <w:rFonts w:ascii="Arial" w:hAnsi="Arial" w:cs="Arial"/>
          <w:sz w:val="20"/>
          <w:szCs w:val="20"/>
        </w:rPr>
        <w:t>Pendant le mois d’avril et le mois de mai, le corps de contrôle général des services publics étudie les dossiers d'évaluation présentés par les communes et leur attribue des notes préliminaires.</w:t>
      </w:r>
    </w:p>
    <w:p w14:paraId="66FD61FB" w14:textId="24C089B7" w:rsidR="005F25FE" w:rsidRPr="005F25FE" w:rsidRDefault="005F25FE" w:rsidP="003805F9">
      <w:pPr>
        <w:pStyle w:val="Paragraphedeliste"/>
        <w:numPr>
          <w:ilvl w:val="0"/>
          <w:numId w:val="4"/>
        </w:numPr>
        <w:spacing w:before="120" w:after="0" w:line="240" w:lineRule="auto"/>
        <w:ind w:left="927"/>
        <w:jc w:val="both"/>
        <w:rPr>
          <w:rFonts w:ascii="Arial" w:hAnsi="Arial" w:cs="Arial"/>
          <w:sz w:val="20"/>
          <w:szCs w:val="20"/>
        </w:rPr>
      </w:pPr>
      <w:r w:rsidRPr="005F25FE">
        <w:rPr>
          <w:rFonts w:ascii="Arial" w:hAnsi="Arial" w:cs="Arial"/>
          <w:sz w:val="20"/>
          <w:szCs w:val="20"/>
        </w:rPr>
        <w:t>L’évaluation sur le terrain et l'annonce des résultats préliminaires :</w:t>
      </w:r>
    </w:p>
    <w:p w14:paraId="21A4D79E" w14:textId="0376175E" w:rsidR="005F25FE" w:rsidRPr="00A173BE" w:rsidRDefault="005F25FE" w:rsidP="003805F9">
      <w:pPr>
        <w:pStyle w:val="Paragraphedeliste"/>
        <w:numPr>
          <w:ilvl w:val="0"/>
          <w:numId w:val="5"/>
        </w:numPr>
        <w:spacing w:before="120" w:after="0" w:line="240" w:lineRule="auto"/>
        <w:ind w:left="1267"/>
        <w:jc w:val="both"/>
        <w:rPr>
          <w:rFonts w:ascii="Arial" w:hAnsi="Arial" w:cs="Arial"/>
          <w:sz w:val="20"/>
          <w:szCs w:val="20"/>
        </w:rPr>
      </w:pPr>
      <w:r w:rsidRPr="00A173BE">
        <w:rPr>
          <w:rFonts w:ascii="Arial" w:hAnsi="Arial" w:cs="Arial"/>
          <w:sz w:val="20"/>
          <w:szCs w:val="20"/>
        </w:rPr>
        <w:t>Pendant le mois de juin de chaque année, le corps de contrôle général des services publics réalise sur la base d’un échantillon de communes un audit pour vérifier l’exactitude des données contenues dans les dossiers d’évaluation. Toute fausse déclaration entraine les procédures suivantes :</w:t>
      </w:r>
    </w:p>
    <w:p w14:paraId="4BF07E6C" w14:textId="5D73C6DF" w:rsidR="005F25FE" w:rsidRPr="005F25FE" w:rsidRDefault="005F25FE" w:rsidP="003805F9">
      <w:pPr>
        <w:pStyle w:val="Paragraphedeliste"/>
        <w:numPr>
          <w:ilvl w:val="0"/>
          <w:numId w:val="4"/>
        </w:numPr>
        <w:spacing w:before="120" w:after="0" w:line="240" w:lineRule="auto"/>
        <w:ind w:left="927"/>
        <w:jc w:val="both"/>
        <w:rPr>
          <w:rFonts w:ascii="Arial" w:hAnsi="Arial" w:cs="Arial"/>
          <w:sz w:val="20"/>
          <w:szCs w:val="20"/>
        </w:rPr>
      </w:pPr>
      <w:r w:rsidRPr="005F25FE">
        <w:rPr>
          <w:rFonts w:ascii="Arial" w:hAnsi="Arial" w:cs="Arial"/>
          <w:sz w:val="20"/>
          <w:szCs w:val="20"/>
        </w:rPr>
        <w:t>Une correction des notes préliminaires attribuées à la commune concernée pour refléter sa situation réelle.</w:t>
      </w:r>
    </w:p>
    <w:p w14:paraId="642ECDA6" w14:textId="3DA152EC" w:rsidR="005F25FE" w:rsidRPr="005F25FE" w:rsidRDefault="005F25FE" w:rsidP="003805F9">
      <w:pPr>
        <w:pStyle w:val="Paragraphedeliste"/>
        <w:numPr>
          <w:ilvl w:val="0"/>
          <w:numId w:val="4"/>
        </w:numPr>
        <w:spacing w:before="120" w:after="0" w:line="240" w:lineRule="auto"/>
        <w:ind w:left="927"/>
        <w:jc w:val="both"/>
        <w:rPr>
          <w:rFonts w:ascii="Arial" w:hAnsi="Arial" w:cs="Arial"/>
          <w:sz w:val="20"/>
          <w:szCs w:val="20"/>
        </w:rPr>
      </w:pPr>
      <w:r w:rsidRPr="005F25FE">
        <w:rPr>
          <w:rFonts w:ascii="Arial" w:hAnsi="Arial" w:cs="Arial"/>
          <w:sz w:val="20"/>
          <w:szCs w:val="20"/>
        </w:rPr>
        <w:t xml:space="preserve"> Une déduction de dix (10) points de la note attribuée après cette correction.</w:t>
      </w:r>
    </w:p>
    <w:p w14:paraId="72944007" w14:textId="1F51A0B8" w:rsidR="005F25FE" w:rsidRPr="005F25FE" w:rsidRDefault="005F25FE" w:rsidP="003805F9">
      <w:pPr>
        <w:pStyle w:val="Paragraphedeliste"/>
        <w:numPr>
          <w:ilvl w:val="0"/>
          <w:numId w:val="5"/>
        </w:numPr>
        <w:spacing w:before="120" w:after="0" w:line="240" w:lineRule="auto"/>
        <w:ind w:left="1267"/>
        <w:jc w:val="both"/>
        <w:rPr>
          <w:rFonts w:ascii="Arial" w:hAnsi="Arial" w:cs="Arial"/>
          <w:sz w:val="20"/>
          <w:szCs w:val="20"/>
        </w:rPr>
      </w:pPr>
      <w:r w:rsidRPr="005F25FE">
        <w:rPr>
          <w:rFonts w:ascii="Arial" w:hAnsi="Arial" w:cs="Arial"/>
          <w:sz w:val="20"/>
          <w:szCs w:val="20"/>
        </w:rPr>
        <w:t>Au mois de juillet, le corps de contrôle général des services publics communique au ministère chargé des collectivités locales les notes préliminaires attribuées à la commune au titre d’évaluation de la performance, qui en informe les communes concernées.</w:t>
      </w:r>
    </w:p>
    <w:p w14:paraId="3C694DDF" w14:textId="1721B1D9" w:rsidR="005F25FE" w:rsidRPr="005F25FE" w:rsidRDefault="005F25FE" w:rsidP="003805F9">
      <w:pPr>
        <w:pStyle w:val="Paragraphedeliste"/>
        <w:numPr>
          <w:ilvl w:val="0"/>
          <w:numId w:val="4"/>
        </w:numPr>
        <w:spacing w:before="120" w:after="0" w:line="240" w:lineRule="auto"/>
        <w:ind w:left="927"/>
        <w:jc w:val="both"/>
        <w:rPr>
          <w:rFonts w:ascii="Arial" w:hAnsi="Arial" w:cs="Arial"/>
          <w:sz w:val="20"/>
          <w:szCs w:val="20"/>
        </w:rPr>
      </w:pPr>
      <w:r w:rsidRPr="005F25FE">
        <w:rPr>
          <w:rFonts w:ascii="Arial" w:hAnsi="Arial" w:cs="Arial"/>
          <w:sz w:val="20"/>
          <w:szCs w:val="20"/>
        </w:rPr>
        <w:t>La demande de révision :</w:t>
      </w:r>
    </w:p>
    <w:p w14:paraId="2EDD2B45" w14:textId="77777777" w:rsidR="005F25FE" w:rsidRPr="005F25FE" w:rsidRDefault="005F25FE" w:rsidP="005F25FE">
      <w:pPr>
        <w:spacing w:before="120" w:after="0" w:line="240" w:lineRule="auto"/>
        <w:ind w:left="284"/>
        <w:jc w:val="both"/>
        <w:rPr>
          <w:rFonts w:ascii="Arial" w:hAnsi="Arial" w:cs="Arial"/>
          <w:sz w:val="20"/>
          <w:szCs w:val="20"/>
        </w:rPr>
      </w:pPr>
      <w:r w:rsidRPr="005F25FE">
        <w:rPr>
          <w:rFonts w:ascii="Arial" w:hAnsi="Arial" w:cs="Arial"/>
          <w:sz w:val="20"/>
          <w:szCs w:val="20"/>
        </w:rPr>
        <w:t>Dans le délai maximal du 15 août de chaque année, la commune peut présenter des demandes de révision appuyées par les pièces justificatives nécessaires au corps de contrôle général des services publics afin de réviser la note préliminaire qui lui a été attribuée.</w:t>
      </w:r>
    </w:p>
    <w:p w14:paraId="75D1C5F0" w14:textId="477234C1" w:rsidR="005F25FE" w:rsidRPr="005F25FE" w:rsidRDefault="005F25FE" w:rsidP="003805F9">
      <w:pPr>
        <w:pStyle w:val="Paragraphedeliste"/>
        <w:numPr>
          <w:ilvl w:val="0"/>
          <w:numId w:val="4"/>
        </w:numPr>
        <w:spacing w:before="120" w:after="0" w:line="240" w:lineRule="auto"/>
        <w:ind w:left="927"/>
        <w:jc w:val="both"/>
        <w:rPr>
          <w:rFonts w:ascii="Arial" w:hAnsi="Arial" w:cs="Arial"/>
          <w:sz w:val="20"/>
          <w:szCs w:val="20"/>
        </w:rPr>
      </w:pPr>
      <w:r w:rsidRPr="005F25FE">
        <w:rPr>
          <w:rFonts w:ascii="Arial" w:hAnsi="Arial" w:cs="Arial"/>
          <w:sz w:val="20"/>
          <w:szCs w:val="20"/>
        </w:rPr>
        <w:lastRenderedPageBreak/>
        <w:t xml:space="preserve"> L’évaluation finale :</w:t>
      </w:r>
    </w:p>
    <w:p w14:paraId="0BA37A28" w14:textId="22C60131" w:rsidR="005F25FE" w:rsidRPr="005F25FE" w:rsidRDefault="005F25FE" w:rsidP="005F25FE">
      <w:pPr>
        <w:spacing w:before="120" w:after="0" w:line="240" w:lineRule="auto"/>
        <w:ind w:left="284"/>
        <w:jc w:val="both"/>
        <w:rPr>
          <w:rFonts w:ascii="Arial" w:hAnsi="Arial" w:cs="Arial"/>
          <w:sz w:val="20"/>
          <w:szCs w:val="20"/>
        </w:rPr>
      </w:pPr>
      <w:r w:rsidRPr="005F25FE">
        <w:rPr>
          <w:rFonts w:ascii="Arial" w:hAnsi="Arial" w:cs="Arial"/>
          <w:sz w:val="20"/>
          <w:szCs w:val="20"/>
        </w:rPr>
        <w:t xml:space="preserve">Chaque année, le corps de contrôle général des services publics établit un rapport de synthèse sur le processus annuel de l’évaluation de performance contenant les notes définitives attribuées aux communes ainsi que les observations et recommandations formulées à cet effet. Il transmet le rapport au plus tard la première semaine du mois d’octobre de chaque année à la commission interministérielle chargée du suivi de l’exécution du programme de développement urbain et de gouvernance locale, créée par l’arrêté du ministre des </w:t>
      </w:r>
      <w:r w:rsidR="00A173BE" w:rsidRPr="005F25FE">
        <w:rPr>
          <w:rFonts w:ascii="Arial" w:hAnsi="Arial" w:cs="Arial"/>
          <w:sz w:val="20"/>
          <w:szCs w:val="20"/>
        </w:rPr>
        <w:t>Affaires</w:t>
      </w:r>
      <w:r w:rsidRPr="005F25FE">
        <w:rPr>
          <w:rFonts w:ascii="Arial" w:hAnsi="Arial" w:cs="Arial"/>
          <w:sz w:val="20"/>
          <w:szCs w:val="20"/>
        </w:rPr>
        <w:t xml:space="preserve"> locales et de l’environnement du 3 janvier 2018 susvisé, pour débattre le rapport. Le rapport peut comprendre également les propositions d’ajustements nécessaires aux critères de performance et au système de notation adopté.</w:t>
      </w:r>
    </w:p>
    <w:p w14:paraId="19920EA6" w14:textId="7BC9DB15" w:rsidR="005F25FE" w:rsidRPr="005F25FE" w:rsidRDefault="005F25FE" w:rsidP="005F25FE">
      <w:pPr>
        <w:spacing w:before="120" w:after="0" w:line="240" w:lineRule="auto"/>
        <w:ind w:left="284"/>
        <w:jc w:val="both"/>
        <w:rPr>
          <w:rFonts w:ascii="Arial" w:hAnsi="Arial" w:cs="Arial"/>
          <w:sz w:val="20"/>
          <w:szCs w:val="20"/>
        </w:rPr>
      </w:pPr>
      <w:r w:rsidRPr="00A173BE">
        <w:rPr>
          <w:rFonts w:ascii="Arial" w:hAnsi="Arial" w:cs="Arial"/>
          <w:b/>
          <w:bCs/>
          <w:i/>
          <w:iCs/>
          <w:sz w:val="20"/>
          <w:szCs w:val="20"/>
        </w:rPr>
        <w:t>Art. 1</w:t>
      </w:r>
      <w:r w:rsidR="00A173BE">
        <w:rPr>
          <w:rFonts w:ascii="Arial" w:hAnsi="Arial" w:cs="Arial"/>
          <w:b/>
          <w:bCs/>
          <w:i/>
          <w:iCs/>
          <w:sz w:val="20"/>
          <w:szCs w:val="20"/>
        </w:rPr>
        <w:t>1 –</w:t>
      </w:r>
      <w:r w:rsidRPr="00A173BE">
        <w:rPr>
          <w:rFonts w:ascii="Arial" w:hAnsi="Arial" w:cs="Arial"/>
          <w:sz w:val="20"/>
          <w:szCs w:val="20"/>
        </w:rPr>
        <w:t xml:space="preserve"> </w:t>
      </w:r>
      <w:r w:rsidRPr="005F25FE">
        <w:rPr>
          <w:rFonts w:ascii="Arial" w:hAnsi="Arial" w:cs="Arial"/>
          <w:sz w:val="20"/>
          <w:szCs w:val="20"/>
        </w:rPr>
        <w:t>La commission interministérielle informe chaque année la caisse des prêts et de soutien des collectivités locales des notes définitives attribuées aux communes au titre de l’évaluation de la performance. Les résultats de l’évaluation de la performance et le rapport y afférent seront publiés sur le portail électronique des collectivités locales.</w:t>
      </w:r>
    </w:p>
    <w:p w14:paraId="1348C00A" w14:textId="506CEE2A" w:rsidR="005F25FE" w:rsidRPr="005F25FE" w:rsidRDefault="005F25FE" w:rsidP="005F25FE">
      <w:pPr>
        <w:spacing w:before="120" w:after="0" w:line="240" w:lineRule="auto"/>
        <w:ind w:left="284"/>
        <w:jc w:val="both"/>
        <w:rPr>
          <w:rFonts w:ascii="Arial" w:hAnsi="Arial" w:cs="Arial"/>
          <w:sz w:val="20"/>
          <w:szCs w:val="20"/>
        </w:rPr>
      </w:pPr>
      <w:r w:rsidRPr="00A173BE">
        <w:rPr>
          <w:rFonts w:ascii="Arial" w:hAnsi="Arial" w:cs="Arial"/>
          <w:b/>
          <w:bCs/>
          <w:i/>
          <w:iCs/>
          <w:sz w:val="20"/>
          <w:szCs w:val="20"/>
        </w:rPr>
        <w:t>Art. 12</w:t>
      </w:r>
      <w:r w:rsidR="00A173BE">
        <w:rPr>
          <w:rFonts w:ascii="Arial" w:hAnsi="Arial" w:cs="Arial"/>
          <w:b/>
          <w:bCs/>
          <w:i/>
          <w:iCs/>
          <w:sz w:val="20"/>
          <w:szCs w:val="20"/>
        </w:rPr>
        <w:t xml:space="preserve"> – </w:t>
      </w:r>
      <w:r w:rsidRPr="005F25FE">
        <w:rPr>
          <w:rFonts w:ascii="Arial" w:hAnsi="Arial" w:cs="Arial"/>
          <w:sz w:val="20"/>
          <w:szCs w:val="20"/>
        </w:rPr>
        <w:t>Les dispositions du présent arrêté entrent en vigueur à compter du 1er janvier 2020. Toutefois, et à titre exceptionnel, le corps de contrôle général des services publics réalise, au cours de l’année 2019, une opération expérimentale d’évaluation sur un échantillon de communes, en fonction des résultats de l’exercice 2018.</w:t>
      </w:r>
    </w:p>
    <w:p w14:paraId="68FBE8EB" w14:textId="0594B3FA" w:rsidR="005F25FE" w:rsidRPr="005F25FE" w:rsidRDefault="005F25FE" w:rsidP="005F25FE">
      <w:pPr>
        <w:spacing w:before="120" w:after="0" w:line="240" w:lineRule="auto"/>
        <w:ind w:left="284"/>
        <w:jc w:val="both"/>
        <w:rPr>
          <w:rFonts w:ascii="Arial" w:hAnsi="Arial" w:cs="Arial"/>
          <w:sz w:val="20"/>
          <w:szCs w:val="20"/>
        </w:rPr>
      </w:pPr>
      <w:r w:rsidRPr="00A173BE">
        <w:rPr>
          <w:rFonts w:ascii="Arial" w:hAnsi="Arial" w:cs="Arial"/>
          <w:b/>
          <w:bCs/>
          <w:i/>
          <w:iCs/>
          <w:sz w:val="20"/>
          <w:szCs w:val="20"/>
        </w:rPr>
        <w:t>Art. 13</w:t>
      </w:r>
      <w:r w:rsidR="00A173BE">
        <w:rPr>
          <w:rFonts w:ascii="Arial" w:hAnsi="Arial" w:cs="Arial"/>
          <w:b/>
          <w:bCs/>
          <w:i/>
          <w:iCs/>
          <w:sz w:val="20"/>
          <w:szCs w:val="20"/>
        </w:rPr>
        <w:t xml:space="preserve"> – </w:t>
      </w:r>
      <w:r w:rsidRPr="005F25FE">
        <w:rPr>
          <w:rFonts w:ascii="Arial" w:hAnsi="Arial" w:cs="Arial"/>
          <w:sz w:val="20"/>
          <w:szCs w:val="20"/>
        </w:rPr>
        <w:t xml:space="preserve">Les dispositions de l’arrêté du ministre de </w:t>
      </w:r>
      <w:r w:rsidR="00A173BE" w:rsidRPr="005F25FE">
        <w:rPr>
          <w:rFonts w:ascii="Arial" w:hAnsi="Arial" w:cs="Arial"/>
          <w:sz w:val="20"/>
          <w:szCs w:val="20"/>
        </w:rPr>
        <w:t>l’Intérieur</w:t>
      </w:r>
      <w:r w:rsidRPr="005F25FE">
        <w:rPr>
          <w:rFonts w:ascii="Arial" w:hAnsi="Arial" w:cs="Arial"/>
          <w:sz w:val="20"/>
          <w:szCs w:val="20"/>
        </w:rPr>
        <w:t xml:space="preserve"> et du ministre des </w:t>
      </w:r>
      <w:proofErr w:type="gramStart"/>
      <w:r w:rsidRPr="005F25FE">
        <w:rPr>
          <w:rFonts w:ascii="Arial" w:hAnsi="Arial" w:cs="Arial"/>
          <w:sz w:val="20"/>
          <w:szCs w:val="20"/>
        </w:rPr>
        <w:t>finances</w:t>
      </w:r>
      <w:proofErr w:type="gramEnd"/>
      <w:r w:rsidRPr="005F25FE">
        <w:rPr>
          <w:rFonts w:ascii="Arial" w:hAnsi="Arial" w:cs="Arial"/>
          <w:sz w:val="20"/>
          <w:szCs w:val="20"/>
        </w:rPr>
        <w:t xml:space="preserve"> du 29 décembre 2015, fixant les critères d'évaluation des performances des collectivités locales continuent à s’appliquer jusqu’à l’entrée en vigueur du présent arrêté.</w:t>
      </w:r>
    </w:p>
    <w:p w14:paraId="23235C6F" w14:textId="79932B15" w:rsidR="005F25FE" w:rsidRPr="005F25FE" w:rsidRDefault="005F25FE" w:rsidP="005F25FE">
      <w:pPr>
        <w:spacing w:before="120" w:after="0" w:line="240" w:lineRule="auto"/>
        <w:ind w:left="284"/>
        <w:jc w:val="both"/>
        <w:rPr>
          <w:rFonts w:ascii="Arial" w:hAnsi="Arial" w:cs="Arial"/>
          <w:sz w:val="20"/>
          <w:szCs w:val="20"/>
        </w:rPr>
      </w:pPr>
      <w:r w:rsidRPr="00A173BE">
        <w:rPr>
          <w:rFonts w:ascii="Arial" w:hAnsi="Arial" w:cs="Arial"/>
          <w:b/>
          <w:bCs/>
          <w:i/>
          <w:iCs/>
          <w:sz w:val="20"/>
          <w:szCs w:val="20"/>
        </w:rPr>
        <w:t>Art. 14</w:t>
      </w:r>
      <w:r w:rsidR="00A173BE">
        <w:rPr>
          <w:rFonts w:ascii="Arial" w:hAnsi="Arial" w:cs="Arial"/>
          <w:b/>
          <w:bCs/>
          <w:i/>
          <w:iCs/>
          <w:sz w:val="20"/>
          <w:szCs w:val="20"/>
        </w:rPr>
        <w:t xml:space="preserve"> – </w:t>
      </w:r>
      <w:r w:rsidRPr="005F25FE">
        <w:rPr>
          <w:rFonts w:ascii="Arial" w:hAnsi="Arial" w:cs="Arial"/>
          <w:sz w:val="20"/>
          <w:szCs w:val="20"/>
        </w:rPr>
        <w:t>Le présent arrêté sera publié au Journal Officiel de la République Tunisienne.</w:t>
      </w:r>
    </w:p>
    <w:p w14:paraId="1E9DD8BB" w14:textId="77777777" w:rsidR="005F25FE" w:rsidRPr="00A173BE" w:rsidRDefault="005F25FE" w:rsidP="005F25FE">
      <w:pPr>
        <w:spacing w:before="120" w:after="0" w:line="240" w:lineRule="auto"/>
        <w:ind w:left="284"/>
        <w:jc w:val="both"/>
        <w:rPr>
          <w:rFonts w:ascii="Arial" w:hAnsi="Arial" w:cs="Arial"/>
          <w:b/>
          <w:bCs/>
          <w:sz w:val="20"/>
          <w:szCs w:val="20"/>
        </w:rPr>
      </w:pPr>
      <w:r w:rsidRPr="00A173BE">
        <w:rPr>
          <w:rFonts w:ascii="Arial" w:hAnsi="Arial" w:cs="Arial"/>
          <w:b/>
          <w:bCs/>
          <w:sz w:val="20"/>
          <w:szCs w:val="20"/>
        </w:rPr>
        <w:t>Tunis, le 25 décembre 2018.</w:t>
      </w:r>
    </w:p>
    <w:p w14:paraId="29485B1A" w14:textId="065F6363" w:rsidR="00693C74" w:rsidRPr="005F25FE" w:rsidRDefault="00693C74" w:rsidP="005F25FE">
      <w:pPr>
        <w:spacing w:before="120" w:after="0" w:line="240" w:lineRule="auto"/>
        <w:ind w:left="284"/>
        <w:jc w:val="both"/>
        <w:rPr>
          <w:rFonts w:ascii="Arial" w:hAnsi="Arial" w:cs="Arial"/>
          <w:sz w:val="20"/>
          <w:szCs w:val="20"/>
        </w:rPr>
      </w:pPr>
    </w:p>
    <w:sectPr w:rsidR="00693C74" w:rsidRPr="005F25FE" w:rsidSect="00A24F23">
      <w:headerReference w:type="even" r:id="rId9"/>
      <w:headerReference w:type="default" r:id="rId10"/>
      <w:footerReference w:type="even" r:id="rId11"/>
      <w:footerReference w:type="default" r:id="rId12"/>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93143" w14:textId="77777777" w:rsidR="003805F9" w:rsidRDefault="003805F9" w:rsidP="008F3F2D">
      <w:r>
        <w:separator/>
      </w:r>
    </w:p>
  </w:endnote>
  <w:endnote w:type="continuationSeparator" w:id="0">
    <w:p w14:paraId="2C429FC8" w14:textId="77777777" w:rsidR="003805F9" w:rsidRDefault="003805F9"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Lucida Grande">
    <w:altName w:val="Tahoma"/>
    <w:charset w:val="00"/>
    <w:family w:val="auto"/>
    <w:pitch w:val="variable"/>
    <w:sig w:usb0="E1000AEF" w:usb1="5000A1FF" w:usb2="00000000" w:usb3="00000000" w:csb0="000001B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44617" w14:textId="77777777" w:rsidR="002F4006" w:rsidRPr="00D55CDF" w:rsidRDefault="002F4006">
    <w:pPr>
      <w:pStyle w:val="Pieddepage"/>
      <w:rPr>
        <w:rFonts w:ascii="Arial" w:hAnsi="Arial"/>
        <w:color w:val="FFFFFF"/>
        <w:sz w:val="18"/>
        <w:szCs w:val="18"/>
      </w:rPr>
    </w:pPr>
    <w:r w:rsidRPr="00D55CDF">
      <w:rPr>
        <w:rFonts w:ascii="Arial" w:hAnsi="Arial"/>
        <w:noProof/>
        <w:color w:val="FFFFFF"/>
        <w:sz w:val="18"/>
        <w:szCs w:val="18"/>
      </w:rPr>
      <mc:AlternateContent>
        <mc:Choice Requires="wps">
          <w:drawing>
            <wp:anchor distT="0" distB="0" distL="114300" distR="114300" simplePos="0" relativeHeight="251658752" behindDoc="1" locked="0" layoutInCell="1" allowOverlap="1" wp14:anchorId="47C39104" wp14:editId="349F16DA">
              <wp:simplePos x="0" y="0"/>
              <wp:positionH relativeFrom="column">
                <wp:posOffset>-1146810</wp:posOffset>
              </wp:positionH>
              <wp:positionV relativeFrom="paragraph">
                <wp:posOffset>398145</wp:posOffset>
              </wp:positionV>
              <wp:extent cx="7985760" cy="457200"/>
              <wp:effectExtent l="0" t="0" r="0" b="0"/>
              <wp:wrapNone/>
              <wp:docPr id="5" name="Rectangle 5"/>
              <wp:cNvGraphicFramePr/>
              <a:graphic xmlns:a="http://schemas.openxmlformats.org/drawingml/2006/main">
                <a:graphicData uri="http://schemas.microsoft.com/office/word/2010/wordprocessingShape">
                  <wps:wsp>
                    <wps:cNvSpPr/>
                    <wps:spPr>
                      <a:xfrm>
                        <a:off x="0" y="0"/>
                        <a:ext cx="798576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612D52AD" w14:textId="242698F3" w:rsidR="002F4006" w:rsidRPr="00A00644" w:rsidRDefault="002F4006"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8</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1</w:t>
                          </w:r>
                          <w:r w:rsidRPr="001E5DD5">
                            <w:rPr>
                              <w:rFonts w:ascii="Arial" w:hAnsi="Arial" w:cs="Arial"/>
                              <w:noProof/>
                              <w:sz w:val="18"/>
                              <w:szCs w:val="18"/>
                            </w:rPr>
                            <w:fldChar w:fldCharType="end"/>
                          </w:r>
                        </w:p>
                        <w:p w14:paraId="22C997F5" w14:textId="77777777" w:rsidR="002F4006" w:rsidRDefault="002F4006"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C39104" id="Rectangle 5" o:spid="_x0000_s1030" style="position:absolute;margin-left:-90.3pt;margin-top:31.35pt;width:628.8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qRhpQIAANsFAAAOAAAAZHJzL2Uyb0RvYy54bWysVNtu2zAMfR+wfxD0vjrukl6COkXQIsOA&#10;og3aDn1WZCkxIIsapcTOvn6U7LhZV6DAsDw4lMjDyxHJq+u2Nmyn0FdgC56fjDhTVkJZ2XXBfzwv&#10;vlxw5oOwpTBgVcH3yvPr2edPV42bqlPYgCkVMnJi/bRxBd+E4KZZ5uVG1cKfgFOWlBqwFoGOuM5K&#10;FA15r012OhqdZQ1g6RCk8p5ubzslnyX/WisZHrT2KjBTcMotpC+m7yp+s9mVmK5RuE0l+zTEP2RR&#10;i8pS0MHVrQiCbbH6y1VdSQQPOpxIqDPQupIq1UDV5KM31TxthFOpFiLHu4Em///cyvvdEllVFnzC&#10;mRU1PdEjkSbs2ig2ifQ0zk/J6sktsT95EmOtrcY6/lMVrE2U7gdKVRuYpMvzy4vJ+RkxL0k3npzT&#10;m0Wn2SvaoQ/fFNQsCgVHip6YFLs7HzrTg0lPcLmojEmyJ5NOYA6IlVFCelyvbgyynaBHvxjFXx9z&#10;7Y+t804Vr/6ALBZvIJTtugsVJRRDAsZGsIWYUJdqd6NS5/X5RwI7ypIU9kZFlLGPShPzRFLepR17&#10;Xg2JCymVDXmfebKOME2hBuDXj4G9fYR2WQ3g04/BAyJFBhsGcF1ZwPccmCFl3dnTYx/VHcXQrtrU&#10;cuNYXLxZQbmnNkTo5tM7uaioG+6ED0uBNJDUQLRkwgN9tIGm4NBLnG0Af713H+1pTkjLWUMDXnD/&#10;cytQcWa+W+qVy3w8jhshHVJncobHmtWxxm7rG6B2ymmdOZlEAmMwB1Ej1C+0i+YxKqmElRS74DLg&#10;4XATusVD20yq+TyZ0RZwItzZJycPfRC7/bl9Eej6kQg0TPdwWAZi+mYyOtv4Qhbm2wC6SmPzymv/&#10;ArRB0uD12y6uqONzsnrdybPfAAAA//8DAFBLAwQUAAYACAAAACEA+Vs9KeMAAAAMAQAADwAAAGRy&#10;cy9kb3ducmV2LnhtbEyPy07DMBBF90j8gzVI7Fq7LUqqEKeCUhBSN9DHgp0bmyTUHkex06Z/z3QF&#10;uxnN0Z1z88XgLDuZLjQeJUzGApjB0usGKwm77etoDixEhVpZj0bCxQRYFLc3ucq0P+OnOW1ixSgE&#10;Q6Yk1DG2GeehrI1TYexbg3T79p1Tkdau4rpTZwp3lk+FSLhTDdKHWrVmWZvyuOmdhI/3y3r1srQ/&#10;x+fezd52+9VXFYWU93fD0yOwaIb4B8NVn9ShIKeD71EHZiWMJnORECshmabAroRIU6p3oGn2kAIv&#10;cv6/RPELAAD//wMAUEsBAi0AFAAGAAgAAAAhALaDOJL+AAAA4QEAABMAAAAAAAAAAAAAAAAAAAAA&#10;AFtDb250ZW50X1R5cGVzXS54bWxQSwECLQAUAAYACAAAACEAOP0h/9YAAACUAQAACwAAAAAAAAAA&#10;AAAAAAAvAQAAX3JlbHMvLnJlbHNQSwECLQAUAAYACAAAACEAPDqkYaUCAADbBQAADgAAAAAAAAAA&#10;AAAAAAAuAgAAZHJzL2Uyb0RvYy54bWxQSwECLQAUAAYACAAAACEA+Vs9KeMAAAAMAQAADwAAAAAA&#10;AAAAAAAAAAD/BAAAZHJzL2Rvd25yZXYueG1sUEsFBgAAAAAEAAQA8wAAAA8GAAAAAA==&#10;" fillcolor="maroon" stroked="f">
              <v:fill color2="red" rotate="t" angle="180" focus="100%" type="gradient">
                <o:fill v:ext="view" type="gradientUnscaled"/>
              </v:fill>
              <v:textbox>
                <w:txbxContent>
                  <w:p w14:paraId="612D52AD" w14:textId="242698F3" w:rsidR="002F4006" w:rsidRPr="00A00644" w:rsidRDefault="002F4006"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8</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1</w:t>
                    </w:r>
                    <w:r w:rsidRPr="001E5DD5">
                      <w:rPr>
                        <w:rFonts w:ascii="Arial" w:hAnsi="Arial" w:cs="Arial"/>
                        <w:noProof/>
                        <w:sz w:val="18"/>
                        <w:szCs w:val="18"/>
                      </w:rPr>
                      <w:fldChar w:fldCharType="end"/>
                    </w:r>
                  </w:p>
                  <w:p w14:paraId="22C997F5" w14:textId="77777777" w:rsidR="002F4006" w:rsidRDefault="002F4006" w:rsidP="001E5DD5">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DD074" w14:textId="77777777" w:rsidR="002F4006" w:rsidRDefault="002F4006">
    <w:pPr>
      <w:pStyle w:val="Pieddepage"/>
    </w:pPr>
    <w:r>
      <w:rPr>
        <w:noProof/>
      </w:rPr>
      <mc:AlternateContent>
        <mc:Choice Requires="wps">
          <w:drawing>
            <wp:anchor distT="0" distB="0" distL="114300" distR="114300" simplePos="0" relativeHeight="251656704" behindDoc="1" locked="0" layoutInCell="1" allowOverlap="1" wp14:anchorId="563C7F36" wp14:editId="69E92889">
              <wp:simplePos x="0" y="0"/>
              <wp:positionH relativeFrom="column">
                <wp:posOffset>-1146810</wp:posOffset>
              </wp:positionH>
              <wp:positionV relativeFrom="paragraph">
                <wp:posOffset>450850</wp:posOffset>
              </wp:positionV>
              <wp:extent cx="7993380" cy="457200"/>
              <wp:effectExtent l="0" t="0" r="7620" b="0"/>
              <wp:wrapNone/>
              <wp:docPr id="4" name="Rectangle 4"/>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21E73675" w14:textId="66537C4F" w:rsidR="002F4006" w:rsidRPr="00A00644" w:rsidRDefault="002F4006"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1</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3C7F36" id="Rectangle 4" o:spid="_x0000_s1031" style="position:absolute;margin-left:-90.3pt;margin-top:35.5pt;width:629.4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gMpAIAANsFAAAOAAAAZHJzL2Uyb0RvYy54bWysVN9P2zAQfp+0/8Hy+0gDZUBFiipQp0kI&#10;EDDx7Dp2GsnxeWe3SffX7+ykoWNISNP6kJ59992Pz3d3edU1hm0V+hpswfOjCWfKSihrWxX8x/Py&#10;yzlnPghbCgNWFXynPL+af/502bqZOoY1mFIhIyfWz1pX8HUIbpZlXq5VI/wROGVJqQEbEeiIVVai&#10;aMl7Y7LjyeRr1gKWDkEq7+n2plfyefKvtZLhXmuvAjMFp9xC+mL6ruI3m1+KWYXCrWs5pCH+IYtG&#10;1JaCjq5uRBBsg/VfrppaInjQ4UhCk4HWtVSpBqomn7yp5mktnEq1EDnejTT5/+dW3m0fkNVlwaec&#10;WdHQEz0SacJWRrFppKd1fkZWT+4Bh5MnMdbaaWziP1XBukTpbqRUdYFJujy7uDg5OSfmJemmp2f0&#10;ZtFp9op26MM3BQ2LQsGRoicmxfbWh950bzIQXC5rY5LsyaQXmANiZZKQHqvVtUG2FfTo55P4G2JW&#10;/tA671Xx6g/IcvkGQtlWfagooRgTMDaCLcSE+lT7G5U6b8g/EthTlqSwMyqijH1UmpgnkvI+7djz&#10;akxcSKlsyIfMk3WEaQo1Ak8+Bg72EdpnNYKPPwaPiBQZbBjBTW0B33NgxpR1b0+PfVB3FEO36lLL&#10;ncbi4s0Kyh21IUI/n97JZU3dcCt8eBBIA0kNREsm3NNHG2gLDoPE2Rrw13v30Z7mhLSctTTgBfc/&#10;NwIVZ+a7pV65yKfTuBHSIXUmZ3ioWR1q7Ka5BmqnnNaZk0kkMAazFzVC80K7aBGjkkpYSbELLgPu&#10;D9ehXzy0zaRaLJIZbQEnwq19cnLfB7Hbn7sXgW4YiUDDdAf7ZSBmbyajt40vZGGxCaDrNDavvA4v&#10;QBskDd6w7eKKOjwnq9edPP8NAAD//wMAUEsDBBQABgAIAAAAIQDMtfbe4wAAAAwBAAAPAAAAZHJz&#10;L2Rvd25yZXYueG1sTI/LTsMwEEX3SPyDNUjsWjstaqMQp4JSEFI30MeCnRsPSagfUey06d8zXcFu&#10;RnN059x8MVjDTtiFxjsJyVgAQ1d63bhKwm77OkqBhaicVsY7lHDBAIvi9iZXmfZn94mnTawYhbiQ&#10;KQl1jG3GeShrtCqMfYuObt++syrS2lVcd+pM4dbwiRAzblXj6EOtWlzWWB43vZXw8X5Zr16W5uf4&#10;3Nvp226/+qqikPL+bnh6BBZxiH8wXPVJHQpyOvje6cCMhFGSihmxEuYJlboSYp5OgB1oepgK4EXO&#10;/5cofgEAAP//AwBQSwECLQAUAAYACAAAACEAtoM4kv4AAADhAQAAEwAAAAAAAAAAAAAAAAAAAAAA&#10;W0NvbnRlbnRfVHlwZXNdLnhtbFBLAQItABQABgAIAAAAIQA4/SH/1gAAAJQBAAALAAAAAAAAAAAA&#10;AAAAAC8BAABfcmVscy8ucmVsc1BLAQItABQABgAIAAAAIQDyfTgMpAIAANsFAAAOAAAAAAAAAAAA&#10;AAAAAC4CAABkcnMvZTJvRG9jLnhtbFBLAQItABQABgAIAAAAIQDMtfbe4wAAAAwBAAAPAAAAAAAA&#10;AAAAAAAAAP4EAABkcnMvZG93bnJldi54bWxQSwUGAAAAAAQABADzAAAADgYAAAAA&#10;" fillcolor="maroon" stroked="f">
              <v:fill color2="red" rotate="t" angle="180" focus="100%" type="gradient">
                <o:fill v:ext="view" type="gradientUnscaled"/>
              </v:fill>
              <v:textbox>
                <w:txbxContent>
                  <w:p w14:paraId="21E73675" w14:textId="66537C4F" w:rsidR="002F4006" w:rsidRPr="00A00644" w:rsidRDefault="002F4006"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1</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1F8F5" w14:textId="77777777" w:rsidR="003805F9" w:rsidRDefault="003805F9" w:rsidP="008F3F2D">
      <w:r>
        <w:separator/>
      </w:r>
    </w:p>
  </w:footnote>
  <w:footnote w:type="continuationSeparator" w:id="0">
    <w:p w14:paraId="78DC9DC1" w14:textId="77777777" w:rsidR="003805F9" w:rsidRDefault="003805F9" w:rsidP="008F3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0AC36" w14:textId="2D742B40" w:rsidR="002F4006" w:rsidRDefault="002F4006">
    <w:pPr>
      <w:pStyle w:val="En-tte"/>
    </w:pPr>
    <w:r>
      <w:rPr>
        <w:noProof/>
      </w:rPr>
      <mc:AlternateContent>
        <mc:Choice Requires="wps">
          <w:drawing>
            <wp:anchor distT="0" distB="0" distL="114300" distR="114300" simplePos="0" relativeHeight="251662848" behindDoc="0" locked="0" layoutInCell="1" allowOverlap="1" wp14:anchorId="5CAC09A5" wp14:editId="403AF402">
              <wp:simplePos x="0" y="0"/>
              <wp:positionH relativeFrom="column">
                <wp:posOffset>5061585</wp:posOffset>
              </wp:positionH>
              <wp:positionV relativeFrom="paragraph">
                <wp:posOffset>-539115</wp:posOffset>
              </wp:positionV>
              <wp:extent cx="1533525" cy="523875"/>
              <wp:effectExtent l="0" t="0" r="0" b="0"/>
              <wp:wrapNone/>
              <wp:docPr id="13" name="Zone de texte 13"/>
              <wp:cNvGraphicFramePr/>
              <a:graphic xmlns:a="http://schemas.openxmlformats.org/drawingml/2006/main">
                <a:graphicData uri="http://schemas.microsoft.com/office/word/2010/wordprocessingShape">
                  <wps:wsp>
                    <wps:cNvSpPr txBox="1"/>
                    <wps:spPr>
                      <a:xfrm>
                        <a:off x="0" y="0"/>
                        <a:ext cx="1533525" cy="523875"/>
                      </a:xfrm>
                      <a:prstGeom prst="rect">
                        <a:avLst/>
                      </a:prstGeom>
                      <a:noFill/>
                      <a:ln w="6350">
                        <a:noFill/>
                      </a:ln>
                    </wps:spPr>
                    <wps:txbx>
                      <w:txbxContent>
                        <w:p w14:paraId="4D6D929C" w14:textId="38562BBE" w:rsidR="002F4006" w:rsidRDefault="002F4006">
                          <w:r>
                            <w:rPr>
                              <w:noProof/>
                            </w:rPr>
                            <w:drawing>
                              <wp:inline distT="0" distB="0" distL="0" distR="0" wp14:anchorId="5CD8F190" wp14:editId="5904365C">
                                <wp:extent cx="1344295" cy="354605"/>
                                <wp:effectExtent l="0" t="0" r="8255"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4295" cy="354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CAC09A5" id="_x0000_t202" coordsize="21600,21600" o:spt="202" path="m,l,21600r21600,l21600,xe">
              <v:stroke joinstyle="miter"/>
              <v:path gradientshapeok="t" o:connecttype="rect"/>
            </v:shapetype>
            <v:shape id="Zone de texte 13" o:spid="_x0000_s1026" type="#_x0000_t202" style="position:absolute;margin-left:398.55pt;margin-top:-42.45pt;width:120.75pt;height:41.25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2prMwIAAFgEAAAOAAAAZHJzL2Uyb0RvYy54bWysVE1v2zAMvQ/YfxB0X5wvt50Rp8haZBhQ&#10;tAXSocBuiizFBiRRk5TY2a8fJTtp0O007CJTJEWK7z15cdtpRQ7C+QZMSSejMSXCcKgasyvp95f1&#10;pxtKfGCmYgqMKOlReHq7/Phh0dpCTKEGVQlHsIjxRWtLWodgiyzzvBaa+RFYYTAowWkWcOt2WeVY&#10;i9W1yqbj8VXWgqusAy68R+99H6TLVF9KwcOTlF4EokqKdwtpdWndxjVbLlixc8zWDR+uwf7hFpo1&#10;BpueS92zwMjeNX+U0g134EGGEQedgZQNF2kGnGYyfjfNpmZWpFkQHG/PMPn/V5Y/Hp4daSrkbkaJ&#10;YRo5+oFMkUqQILogCPoRpNb6AnM3FrND9wU6PHDye3TG2TvpdPziVATjCPfxDDGWIjweymezfJpT&#10;wjGWT2c313ksk72dts6HrwI0iUZJHVKYkGWHBx/61FNKbGZg3SiVaFSGtCW9muXjdOAcweLKYI84&#10;Q3/XaIVu2w2DbaE64lwOenl4y9cNNn9gPjwzh3rAUVDj4QkXqQCbwGBRUoP79Td/zEeaMEpJi/oq&#10;qf+5Z05Qor4ZJPDzZD6PgkybeX49xY27jGwvI2av7wAlPMHXZHkyY35QJ1M60K/4FFaxK4aY4di7&#10;pOFk3oVe9fiUuFitUhJK0LLwYDaWx9IRzgjtS/fKnB3wjyJ4hJMSWfGOhj63J2K1DyCbxFEEuEd1&#10;wB3lm1genlp8H5f7lPX2Q1j+BgAA//8DAFBLAwQUAAYACAAAACEA7P6+CuMAAAALAQAADwAAAGRy&#10;cy9kb3ducmV2LnhtbEyPwU7CQBCG7ya+w2ZMvMGWilBqt4Q0ISZGDyAXb9Pu0DZ2Z2t3gerTu5z0&#10;ODNf/vn+bD2aTpxpcK1lBbNpBIK4srrlWsHhfTtJQDiPrLGzTAq+ycE6v73JMNX2wjs6730tQgi7&#10;FBU03veplK5qyKCb2p443I52MOjDONRSD3gJ4aaTcRQtpMGWw4cGeyoaqj73J6Pgpdi+4a6MTfLT&#10;Fc+vx03/dfh4VOr+btw8gfA0+j8YrvpBHfLgVNoTayc6BcvVchZQBZNkvgJxJaKHZAGiDKt4DjLP&#10;5P8O+S8AAAD//wMAUEsBAi0AFAAGAAgAAAAhALaDOJL+AAAA4QEAABMAAAAAAAAAAAAAAAAAAAAA&#10;AFtDb250ZW50X1R5cGVzXS54bWxQSwECLQAUAAYACAAAACEAOP0h/9YAAACUAQAACwAAAAAAAAAA&#10;AAAAAAAvAQAAX3JlbHMvLnJlbHNQSwECLQAUAAYACAAAACEAW8tqazMCAABYBAAADgAAAAAAAAAA&#10;AAAAAAAuAgAAZHJzL2Uyb0RvYy54bWxQSwECLQAUAAYACAAAACEA7P6+CuMAAAALAQAADwAAAAAA&#10;AAAAAAAAAACNBAAAZHJzL2Rvd25yZXYueG1sUEsFBgAAAAAEAAQA8wAAAJ0FAAAAAA==&#10;" filled="f" stroked="f" strokeweight=".5pt">
              <v:textbox>
                <w:txbxContent>
                  <w:p w14:paraId="4D6D929C" w14:textId="38562BBE" w:rsidR="002F4006" w:rsidRDefault="002F4006">
                    <w:r>
                      <w:rPr>
                        <w:noProof/>
                      </w:rPr>
                      <w:drawing>
                        <wp:inline distT="0" distB="0" distL="0" distR="0" wp14:anchorId="5CD8F190" wp14:editId="5904365C">
                          <wp:extent cx="1344295" cy="354605"/>
                          <wp:effectExtent l="0" t="0" r="8255"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4295" cy="35460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5680" behindDoc="0" locked="0" layoutInCell="1" allowOverlap="1" wp14:anchorId="2D424640" wp14:editId="628DD532">
              <wp:simplePos x="0" y="0"/>
              <wp:positionH relativeFrom="column">
                <wp:posOffset>-1146810</wp:posOffset>
              </wp:positionH>
              <wp:positionV relativeFrom="paragraph">
                <wp:posOffset>-720090</wp:posOffset>
              </wp:positionV>
              <wp:extent cx="7985760" cy="800100"/>
              <wp:effectExtent l="0" t="0" r="0" b="0"/>
              <wp:wrapNone/>
              <wp:docPr id="2" name="Rectangle 2"/>
              <wp:cNvGraphicFramePr/>
              <a:graphic xmlns:a="http://schemas.openxmlformats.org/drawingml/2006/main">
                <a:graphicData uri="http://schemas.microsoft.com/office/word/2010/wordprocessingShape">
                  <wps:wsp>
                    <wps:cNvSpPr/>
                    <wps:spPr>
                      <a:xfrm>
                        <a:off x="0" y="0"/>
                        <a:ext cx="798576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30C4FB85" w14:textId="77777777" w:rsidR="002F4006" w:rsidRDefault="002F4006" w:rsidP="0097472C">
                          <w:pPr>
                            <w:spacing w:after="0" w:line="240" w:lineRule="auto"/>
                            <w:ind w:left="567"/>
                            <w:rPr>
                              <w:rFonts w:ascii="Arial" w:eastAsia="Times New Roman" w:hAnsi="Arial" w:cs="Times New Roman"/>
                              <w:sz w:val="24"/>
                              <w:szCs w:val="24"/>
                            </w:rPr>
                          </w:pPr>
                        </w:p>
                        <w:p w14:paraId="0FF1D870" w14:textId="77777777" w:rsidR="002F4006" w:rsidRPr="005F7BF4" w:rsidRDefault="002F4006"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4C09003A" w14:textId="77777777" w:rsidR="002F4006" w:rsidRPr="005F7BF4" w:rsidRDefault="002F4006"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424640" id="Rectangle 2" o:spid="_x0000_s1027" style="position:absolute;margin-left:-90.3pt;margin-top:-56.7pt;width:628.8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hpp0QIAACAGAAAOAAAAZHJzL2Uyb0RvYy54bWysVNtuGyEQfa/Uf0C8N2u7uVpZR1YiV5Wi&#10;JEpS5RmzYCOxQAFf0q/vAdZrN01Vqaof1jAzZy6Hmbm82raarIUPypqaDo8GlAjDbaPMoqbfnmef&#10;zikJkZmGaWtETV9FoFeTjx8uN24sRnZpdSM8gRMTxhtX02WMblxVgS9Fy8KRdcJAKa1vWcTVL6rG&#10;sw28t7oaDQan1cb6xnnLRQiQ3hQlnWT/Ugoe76UMIhJdU+QW89fn7zx9q8klGy88c0vFuzTYP2TR&#10;MmUQtHd1wyIjK69+c9Uq7m2wMh5x21ZWSsVFrgHVDAdvqnlaMidyLSAnuJ6m8P/c8rv1gyeqqemI&#10;EsNaPNEjSGNmoQUZJXo2Loxh9eQefHcLOKZat9K36R9VkG2m9LWnVGwj4RCeXZyfnJ2CeQ7d+QA1&#10;Zs6rPdr5EL8I25J0qKlH9MwkW9+GiIgw3Zl0BDczpTWRWqFfDLqKEm/ji4rLzBe6sLxEAD4jAnEW&#10;lA2yOPjF/Fp7smboCCSEX6oSURbh0BqJJlUS/QKZzbJ8D8nILpRWhoC6zEXgTAvwOiw9FpUWidkO&#10;6FmuIrnXJn2NTVUVbZGI3L4dCekVCu/5FF+1KNhHIfF8YLpUnQdH9AUyzoWJOQXkqQ2sE0wiVA/8&#10;XIpME/cnYGefoCWrHjz6O7hH5MjWxB7cKmP9ew50n7Is9nigg7rTMW7n29y3ubgkmdvmFb2MXij8&#10;Oz5TaKlbFuID85hqdCE2VbzHR2q7qantTpQsrf/xnjzZY9igpWSDLVHT8H3FPFpOfzXoqYvh8XFa&#10;K/lyfHI2wsUfauaHGrNqry3aboid6Hg+Jvuod0fpbfuChTZNUaFihiN2TXn0u8t1LNsLK5GL6TSb&#10;YZU4Fm/Nk+O7Pkgj87x9Yd51cxUxkXd2t1HY+M14Fdv0QsZOV9FKlTt1z2v3AlhDZVjKykx77vCe&#10;rfaLffITAAD//wMAUEsDBBQABgAIAAAAIQBuVCAC4QAAAA0BAAAPAAAAZHJzL2Rvd25yZXYueG1s&#10;TI/BTsMwEETvSPyDtUjcWjsBJVGIU6FK9NIeoK2EuLnxkgTidRS7afr3OCd6m9E+zc4Uq8l0bMTB&#10;tZYkREsBDKmyuqVawvHwtsiAOa9Iq84SSriig1V5f1eoXNsLfeC49zULIeRyJaHxvs85d1WDRrml&#10;7ZHC7dsORvlgh5rrQV1CuOl4LETCjWopfGhUj+sGq9/92UjYfI7TVWfr/ic1wm1F7L7eNzspHx+m&#10;1xdgHif/D8NcP1SHMnQ62TNpxzoJiygTSWBnFT09A5sZkaZh4CmoOAFeFvx2RfkHAAD//wMAUEsB&#10;Ai0AFAAGAAgAAAAhALaDOJL+AAAA4QEAABMAAAAAAAAAAAAAAAAAAAAAAFtDb250ZW50X1R5cGVz&#10;XS54bWxQSwECLQAUAAYACAAAACEAOP0h/9YAAACUAQAACwAAAAAAAAAAAAAAAAAvAQAAX3JlbHMv&#10;LnJlbHNQSwECLQAUAAYACAAAACEAGGIaadECAAAgBgAADgAAAAAAAAAAAAAAAAAuAgAAZHJzL2Uy&#10;b0RvYy54bWxQSwECLQAUAAYACAAAACEAblQgAuEAAAANAQAADwAAAAAAAAAAAAAAAAArBQAAZHJz&#10;L2Rvd25yZXYueG1sUEsFBgAAAAAEAAQA8wAAADkGAAAAAA==&#10;" fillcolor="maroon" stroked="f">
              <v:fill color2="red" rotate="t" angle="90" focus="100%" type="gradient"/>
              <v:textbox>
                <w:txbxContent>
                  <w:p w14:paraId="30C4FB85" w14:textId="77777777" w:rsidR="002F4006" w:rsidRDefault="002F4006" w:rsidP="0097472C">
                    <w:pPr>
                      <w:spacing w:after="0" w:line="240" w:lineRule="auto"/>
                      <w:ind w:left="567"/>
                      <w:rPr>
                        <w:rFonts w:ascii="Arial" w:eastAsia="Times New Roman" w:hAnsi="Arial" w:cs="Times New Roman"/>
                        <w:sz w:val="24"/>
                        <w:szCs w:val="24"/>
                      </w:rPr>
                    </w:pPr>
                  </w:p>
                  <w:p w14:paraId="0FF1D870" w14:textId="77777777" w:rsidR="002F4006" w:rsidRPr="005F7BF4" w:rsidRDefault="002F4006"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4C09003A" w14:textId="77777777" w:rsidR="002F4006" w:rsidRPr="005F7BF4" w:rsidRDefault="002F4006"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A897B" w14:textId="16ECF23F" w:rsidR="002F4006" w:rsidRDefault="002F4006">
    <w:pPr>
      <w:pStyle w:val="En-tte"/>
    </w:pPr>
    <w:r>
      <w:rPr>
        <w:noProof/>
      </w:rPr>
      <mc:AlternateContent>
        <mc:Choice Requires="wps">
          <w:drawing>
            <wp:anchor distT="0" distB="0" distL="114300" distR="114300" simplePos="0" relativeHeight="251661824" behindDoc="0" locked="0" layoutInCell="1" allowOverlap="1" wp14:anchorId="1B162824" wp14:editId="0D3D7743">
              <wp:simplePos x="0" y="0"/>
              <wp:positionH relativeFrom="column">
                <wp:posOffset>4928235</wp:posOffset>
              </wp:positionH>
              <wp:positionV relativeFrom="paragraph">
                <wp:posOffset>-539115</wp:posOffset>
              </wp:positionV>
              <wp:extent cx="1628775" cy="552450"/>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1628775" cy="552450"/>
                      </a:xfrm>
                      <a:prstGeom prst="rect">
                        <a:avLst/>
                      </a:prstGeom>
                      <a:noFill/>
                      <a:ln w="6350">
                        <a:noFill/>
                      </a:ln>
                    </wps:spPr>
                    <wps:txbx>
                      <w:txbxContent>
                        <w:p w14:paraId="3A06F12B" w14:textId="3E70B705" w:rsidR="002F4006" w:rsidRDefault="002F4006">
                          <w:pPr>
                            <w:rPr>
                              <w:color w:val="FFFFFF" w:themeColor="background1"/>
                              <w14:textFill>
                                <w14:noFill/>
                              </w14:textFill>
                            </w:rPr>
                          </w:pPr>
                          <w:r>
                            <w:rPr>
                              <w:noProof/>
                            </w:rPr>
                            <w:drawing>
                              <wp:inline distT="0" distB="0" distL="0" distR="0" wp14:anchorId="3501D2DC" wp14:editId="43D7F57D">
                                <wp:extent cx="1439545" cy="379730"/>
                                <wp:effectExtent l="0" t="0" r="8255"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379730"/>
                                        </a:xfrm>
                                        <a:prstGeom prst="rect">
                                          <a:avLst/>
                                        </a:prstGeom>
                                        <a:noFill/>
                                        <a:ln>
                                          <a:noFill/>
                                        </a:ln>
                                      </pic:spPr>
                                    </pic:pic>
                                  </a:graphicData>
                                </a:graphic>
                              </wp:inline>
                            </w:drawing>
                          </w:r>
                        </w:p>
                        <w:p w14:paraId="1A347F5C" w14:textId="77777777" w:rsidR="002F4006" w:rsidRPr="00C765D6" w:rsidRDefault="002F4006">
                          <w:pPr>
                            <w:rPr>
                              <w:color w:val="FFFFFF" w:themeColor="background1"/>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B162824" id="_x0000_t202" coordsize="21600,21600" o:spt="202" path="m,l,21600r21600,l21600,xe">
              <v:stroke joinstyle="miter"/>
              <v:path gradientshapeok="t" o:connecttype="rect"/>
            </v:shapetype>
            <v:shape id="Zone de texte 7" o:spid="_x0000_s1028" type="#_x0000_t202" style="position:absolute;margin-left:388.05pt;margin-top:-42.45pt;width:128.25pt;height:43.5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zzgNQIAAF0EAAAOAAAAZHJzL2Uyb0RvYy54bWysVE2P2yAQvVfqf0DcGyduPrZWnFW6q1SV&#10;ot2VstVKvREMsSVgKJDY6a/vgJNsuu2p6gUPzDAf7z08v+20IgfhfAOmpKPBkBJhOFSN2ZX02/Pq&#10;ww0lPjBTMQVGlPQoPL1dvH83b20hcqhBVcIRTGJ80dqS1iHYIss8r4VmfgBWGHRKcJoF3LpdVjnW&#10;Ynatsnw4nGYtuMo64MJ7PL3vnXSR8kspeHiU0otAVEmxt5BWl9ZtXLPFnBU7x2zd8FMb7B+60Kwx&#10;WPSS6p4FRvau+SOVbrgDDzIMOOgMpGy4SDPgNKPhm2k2NbMizYLgeHuByf+/tPzh8ORIU5V0Rolh&#10;Gin6jkSRSpAguiDILELUWl9g5MZibOg+Q4dUn889HsbJO+l0/OJMBP0I9vECMGYiPF6a5jez2YQS&#10;jr7JJB9PEgPZ623rfPgiQJNolNQhgQlXdlj7gJ1g6DkkFjOwapRKJCpD2pJOP2LK3zx4Qxm8GGfo&#10;e41W6LZdGjs/z7GF6ojjOeg14i1fNdjDmvnwxByKAidCoYdHXKQCrAUni5Ia3M+/ncd45Aq9lLQo&#10;spL6H3vmBCXqq0EWP43G46jKtBlPZjlu3LVne+0xe30HqOMRPinLkxnjgzqb0oF+wfewjFXRxQzH&#10;2iUNZ/Mu9NLH98TFcpmCUIeWhbXZWB5TR+wiws/dC3P2REOUwgOc5ciKN2z0sT3qy30A2SSqIs49&#10;qif4UcOJwdN7i4/kep+iXv8Ki18AAAD//wMAUEsDBBQABgAIAAAAIQDcpVxT4gAAAAoBAAAPAAAA&#10;ZHJzL2Rvd25yZXYueG1sTI/BTsMwEETvSPyDtUjcWicB0hDiVFWkCqmCQ0sv3Daxm0TY6xC7bejX&#10;457guJqnmbfFcjKandToeksC4nkETFFjZU+tgP3HepYBcx5JorakBPwoB8vy9qbAXNozbdVp51sW&#10;SsjlKKDzfsg5d02nDLq5HRSF7GBHgz6cY8vliOdQbjRPoijlBnsKCx0OqupU87U7GgGbav2O2zox&#10;2UVXr2+H1fC9/3wS4v5uWr0A82ryfzBc9YM6lMGptkeSjmkBi0UaB1TALHt8BnYloockBVYLSGLg&#10;ZcH/v1D+AgAA//8DAFBLAQItABQABgAIAAAAIQC2gziS/gAAAOEBAAATAAAAAAAAAAAAAAAAAAAA&#10;AABbQ29udGVudF9UeXBlc10ueG1sUEsBAi0AFAAGAAgAAAAhADj9If/WAAAAlAEAAAsAAAAAAAAA&#10;AAAAAAAALwEAAF9yZWxzLy5yZWxzUEsBAi0AFAAGAAgAAAAhAGknPOA1AgAAXQQAAA4AAAAAAAAA&#10;AAAAAAAALgIAAGRycy9lMm9Eb2MueG1sUEsBAi0AFAAGAAgAAAAhANylXFPiAAAACgEAAA8AAAAA&#10;AAAAAAAAAAAAjwQAAGRycy9kb3ducmV2LnhtbFBLBQYAAAAABAAEAPMAAACeBQAAAAA=&#10;" filled="f" stroked="f" strokeweight=".5pt">
              <v:textbox>
                <w:txbxContent>
                  <w:p w14:paraId="3A06F12B" w14:textId="3E70B705" w:rsidR="002F4006" w:rsidRDefault="002F4006">
                    <w:pPr>
                      <w:rPr>
                        <w:color w:val="FFFFFF" w:themeColor="background1"/>
                        <w14:textFill>
                          <w14:noFill/>
                        </w14:textFill>
                      </w:rPr>
                    </w:pPr>
                    <w:r>
                      <w:rPr>
                        <w:noProof/>
                      </w:rPr>
                      <w:drawing>
                        <wp:inline distT="0" distB="0" distL="0" distR="0" wp14:anchorId="3501D2DC" wp14:editId="43D7F57D">
                          <wp:extent cx="1439545" cy="379730"/>
                          <wp:effectExtent l="0" t="0" r="8255"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379730"/>
                                  </a:xfrm>
                                  <a:prstGeom prst="rect">
                                    <a:avLst/>
                                  </a:prstGeom>
                                  <a:noFill/>
                                  <a:ln>
                                    <a:noFill/>
                                  </a:ln>
                                </pic:spPr>
                              </pic:pic>
                            </a:graphicData>
                          </a:graphic>
                        </wp:inline>
                      </w:drawing>
                    </w:r>
                  </w:p>
                  <w:p w14:paraId="1A347F5C" w14:textId="77777777" w:rsidR="002F4006" w:rsidRPr="00C765D6" w:rsidRDefault="002F4006">
                    <w:pPr>
                      <w:rPr>
                        <w:color w:val="FFFFFF" w:themeColor="background1"/>
                        <w14:textFill>
                          <w14:noFill/>
                        </w14:textFill>
                      </w:rPr>
                    </w:pPr>
                  </w:p>
                </w:txbxContent>
              </v:textbox>
            </v:shape>
          </w:pict>
        </mc:Fallback>
      </mc:AlternateContent>
    </w:r>
    <w:r>
      <w:rPr>
        <w:noProof/>
      </w:rPr>
      <mc:AlternateContent>
        <mc:Choice Requires="wps">
          <w:drawing>
            <wp:anchor distT="0" distB="0" distL="114300" distR="114300" simplePos="0" relativeHeight="251654656" behindDoc="0" locked="0" layoutInCell="1" allowOverlap="1" wp14:anchorId="59D8345C" wp14:editId="392244C2">
              <wp:simplePos x="0" y="0"/>
              <wp:positionH relativeFrom="column">
                <wp:posOffset>-1146810</wp:posOffset>
              </wp:positionH>
              <wp:positionV relativeFrom="paragraph">
                <wp:posOffset>-720090</wp:posOffset>
              </wp:positionV>
              <wp:extent cx="7993380" cy="800100"/>
              <wp:effectExtent l="0" t="0" r="7620" b="0"/>
              <wp:wrapNone/>
              <wp:docPr id="1" name="Rectangle 1"/>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BDDC3E" w14:textId="7D374A7C" w:rsidR="002F4006" w:rsidRDefault="002F4006" w:rsidP="002B1245">
                          <w:pPr>
                            <w:spacing w:after="0" w:line="20" w:lineRule="atLeast"/>
                            <w:ind w:left="567"/>
                            <w:jc w:val="right"/>
                            <w:rPr>
                              <w:rFonts w:ascii="Arial" w:eastAsia="Times New Roman" w:hAnsi="Arial" w:cs="Arial"/>
                              <w:sz w:val="24"/>
                              <w:szCs w:val="20"/>
                              <w:lang w:eastAsia="en-US"/>
                            </w:rPr>
                          </w:pPr>
                        </w:p>
                        <w:p w14:paraId="1AB74112" w14:textId="67010738" w:rsidR="002F4006" w:rsidRPr="00317C84" w:rsidRDefault="002F4006"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0347FD79" w14:textId="77777777" w:rsidR="002F4006" w:rsidRPr="00317C84" w:rsidRDefault="002F4006"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BD3CBB1" w14:textId="77777777" w:rsidR="002F4006" w:rsidRPr="00D55CDF" w:rsidRDefault="002F4006" w:rsidP="00584322">
                          <w:pPr>
                            <w:ind w:left="1134"/>
                            <w:jc w:val="both"/>
                            <w:rPr>
                              <w:rFonts w:ascii="Arial" w:hAnsi="Arial"/>
                            </w:rPr>
                          </w:pPr>
                          <w:r w:rsidRPr="00D55CDF">
                            <w:rPr>
                              <w:rFonts w:ascii="Arial" w:hAnsi="Arial"/>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D8345C" id="Rectangle 1" o:spid="_x0000_s1029" style="position:absolute;margin-left:-90.3pt;margin-top:-56.7pt;width:629.4pt;height:6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DyS0gIAACAGAAAOAAAAZHJzL2Uyb0RvYy54bWysVNtuGyEQfa/Uf0C8N+tL2iZW1pGVyFWl&#10;KImSVHnGLNhILFDAt359D7DeuGmqSlX9sB6YGWbmzJm5uNy1mmyED8qamg5PBpQIw22jzLKm357m&#10;H84oCZGZhmlrRE33ItDL6ft3F1s3ESO7sroRnuAREyZbV9NVjG5SVYGvRMvCiXXCQCmtb1nE0S+r&#10;xrMtXm91NRoMPlVb6xvnLRch4Pa6KOk0vy+l4PFOyiAi0TVFbjF/ff4u0reaXrDJ0jO3UrxLg/1D&#10;Fi1TBkH7p65ZZGTt1W9PtYp7G6yMJ9y2lZVScZFrQDXDwatqHlfMiVwLwAmuhyn8v2f57ebeE9Wg&#10;d5QY1qJFDwCNmaUWZJjg2bowgdWju/fdKUBMte6kb9M/qiC7DOm+h1TsIuG4/Hx+Ph6fAXkO3dkA&#10;NWbMqxdv50P8ImxLklBTj+gZSba5CRERYXow6QBu5kprIrUCXwxYRYm38VnFVcYrVZINA/yLQJwF&#10;ZIN8HfxycaU92TAwAgnhl6pElGU4tkaiSZWufnGZz/P9i0v27EJpZQigy1gEzrTIuMKWTaLSIiHb&#10;OXqWq0gabdLX2FRV0ZYbkenbgZC6UHDPUtxrUXwfhET7gHSpOg+O6AtknAsTcx+RpzawTm4SoXrH&#10;cSkyTdyfHDv75Fqy6p1Hf3fuPXJka2Lv3Cpj/VsP6D5lWezRoKO6kxh3i13m7fhA0oVt9uAyuFDw&#10;d3yuQKkbFuI985hqsBCbKt7hI7Xd1tR2EiUr63+8dZ/sMWzQUrLFlqhp+L5mHpTTXw04dT48PU1r&#10;JR9OP34e4eCPNYtjjVm3Vxa0w6gFx7OY7KM+iNLb9hkLbZaiQsUMR+ya8ugPh6tYthdWIhezWTbD&#10;KnEs3phHxw88SCPztHtm3nVzFTGRt/awUdjk1XgV29QhY2fraKXKTE1IF1y7DmANlWEpKzPtueNz&#10;tnpZ7NOfAAAA//8DAFBLAwQUAAYACAAAACEAV3me1uEAAAANAQAADwAAAGRycy9kb3ducmV2Lnht&#10;bEyPwW7CMAyG75P2DpEn7QZJu6lUpSlCSHDZDhsgTbuFxrTdGqdqQilvv/Q0br/lT78/56vRtGzA&#10;3jWWJERzAQyptLqhSsLxsJ2lwJxXpFVrCSXc0MGqeHzIVabtlT5x2PuKhRJymZJQe99lnLuyRqPc&#10;3HZIYXe2vVE+jH3Fda+uody0PBYi4UY1FC7UqsNNjeXv/mIk7L6G8abTTfezMMK9idh9f+zepXx+&#10;GtdLYB5H/w/DpB/UoQhOJ3sh7VgrYRalIgnslKKXV2ATIxZpDOwUUpwAL3J+/0XxBwAA//8DAFBL&#10;AQItABQABgAIAAAAIQC2gziS/gAAAOEBAAATAAAAAAAAAAAAAAAAAAAAAABbQ29udGVudF9UeXBl&#10;c10ueG1sUEsBAi0AFAAGAAgAAAAhADj9If/WAAAAlAEAAAsAAAAAAAAAAAAAAAAALwEAAF9yZWxz&#10;Ly5yZWxzUEsBAi0AFAAGAAgAAAAhACqAPJLSAgAAIAYAAA4AAAAAAAAAAAAAAAAALgIAAGRycy9l&#10;Mm9Eb2MueG1sUEsBAi0AFAAGAAgAAAAhAFd5ntbhAAAADQEAAA8AAAAAAAAAAAAAAAAALAUAAGRy&#10;cy9kb3ducmV2LnhtbFBLBQYAAAAABAAEAPMAAAA6BgAAAAA=&#10;" fillcolor="maroon" stroked="f">
              <v:fill color2="red" rotate="t" angle="90" focus="100%" type="gradient"/>
              <v:textbox>
                <w:txbxContent>
                  <w:p w14:paraId="7CBDDC3E" w14:textId="7D374A7C" w:rsidR="002F4006" w:rsidRDefault="002F4006" w:rsidP="002B1245">
                    <w:pPr>
                      <w:spacing w:after="0" w:line="20" w:lineRule="atLeast"/>
                      <w:ind w:left="567"/>
                      <w:jc w:val="right"/>
                      <w:rPr>
                        <w:rFonts w:ascii="Arial" w:eastAsia="Times New Roman" w:hAnsi="Arial" w:cs="Arial"/>
                        <w:sz w:val="24"/>
                        <w:szCs w:val="20"/>
                        <w:lang w:eastAsia="en-US"/>
                      </w:rPr>
                    </w:pPr>
                  </w:p>
                  <w:p w14:paraId="1AB74112" w14:textId="67010738" w:rsidR="002F4006" w:rsidRPr="00317C84" w:rsidRDefault="002F4006"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0347FD79" w14:textId="77777777" w:rsidR="002F4006" w:rsidRPr="00317C84" w:rsidRDefault="002F4006"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BD3CBB1" w14:textId="77777777" w:rsidR="002F4006" w:rsidRPr="00D55CDF" w:rsidRDefault="002F4006" w:rsidP="00584322">
                    <w:pPr>
                      <w:ind w:left="1134"/>
                      <w:jc w:val="both"/>
                      <w:rPr>
                        <w:rFonts w:ascii="Arial" w:hAnsi="Arial"/>
                      </w:rPr>
                    </w:pPr>
                    <w:r w:rsidRPr="00D55CDF">
                      <w:rPr>
                        <w:rFonts w:ascii="Arial" w:hAnsi="Arial"/>
                      </w:rPr>
                      <w:t>www.legislation-securite.tn</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771F6"/>
    <w:multiLevelType w:val="hybridMultilevel"/>
    <w:tmpl w:val="52C0E378"/>
    <w:lvl w:ilvl="0" w:tplc="BD24AD88">
      <w:numFmt w:val="bullet"/>
      <w:lvlText w:val="̶"/>
      <w:lvlJc w:val="left"/>
      <w:pPr>
        <w:ind w:left="1004" w:hanging="360"/>
      </w:pPr>
      <w:rPr>
        <w:rFonts w:ascii="Calibri" w:eastAsiaTheme="minorEastAsia" w:hAnsi="Calibri"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2D705503"/>
    <w:multiLevelType w:val="hybridMultilevel"/>
    <w:tmpl w:val="4910475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4CDA1B50"/>
    <w:multiLevelType w:val="hybridMultilevel"/>
    <w:tmpl w:val="BC28C86A"/>
    <w:lvl w:ilvl="0" w:tplc="BD24AD88">
      <w:numFmt w:val="bullet"/>
      <w:lvlText w:val="̶"/>
      <w:lvlJc w:val="left"/>
      <w:pPr>
        <w:ind w:left="1004" w:hanging="360"/>
      </w:pPr>
      <w:rPr>
        <w:rFonts w:ascii="Calibri" w:eastAsiaTheme="minorEastAsia" w:hAnsi="Calibri" w:hint="default"/>
      </w:rPr>
    </w:lvl>
    <w:lvl w:ilvl="1" w:tplc="BD24AD88">
      <w:numFmt w:val="bullet"/>
      <w:lvlText w:val="̶"/>
      <w:lvlJc w:val="left"/>
      <w:pPr>
        <w:ind w:left="1724" w:hanging="360"/>
      </w:pPr>
      <w:rPr>
        <w:rFonts w:ascii="Calibri" w:eastAsiaTheme="minorEastAsia" w:hAnsi="Calibri"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51974961"/>
    <w:multiLevelType w:val="hybridMultilevel"/>
    <w:tmpl w:val="81CC0B82"/>
    <w:lvl w:ilvl="0" w:tplc="08090001">
      <w:start w:val="1"/>
      <w:numFmt w:val="bullet"/>
      <w:lvlText w:val=""/>
      <w:lvlJc w:val="left"/>
      <w:pPr>
        <w:ind w:left="1004" w:hanging="360"/>
      </w:pPr>
      <w:rPr>
        <w:rFonts w:ascii="Symbol" w:hAnsi="Symbol" w:hint="default"/>
      </w:rPr>
    </w:lvl>
    <w:lvl w:ilvl="1" w:tplc="FF785CDA">
      <w:numFmt w:val="bullet"/>
      <w:lvlText w:val="-"/>
      <w:lvlJc w:val="left"/>
      <w:pPr>
        <w:ind w:left="1724" w:hanging="360"/>
      </w:pPr>
      <w:rPr>
        <w:rFonts w:ascii="Arial" w:eastAsiaTheme="minorEastAsia" w:hAnsi="Arial" w:cs="Arial"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77154207"/>
    <w:multiLevelType w:val="hybridMultilevel"/>
    <w:tmpl w:val="ABE02E1C"/>
    <w:lvl w:ilvl="0" w:tplc="BD24AD88">
      <w:numFmt w:val="bullet"/>
      <w:lvlText w:val="̶"/>
      <w:lvlJc w:val="left"/>
      <w:pPr>
        <w:ind w:left="1004" w:hanging="360"/>
      </w:pPr>
      <w:rPr>
        <w:rFonts w:ascii="Calibri" w:eastAsiaTheme="minorEastAsia" w:hAnsi="Calibri"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F2D"/>
    <w:rsid w:val="000039A3"/>
    <w:rsid w:val="00006A31"/>
    <w:rsid w:val="0001140D"/>
    <w:rsid w:val="00013DE5"/>
    <w:rsid w:val="000414A7"/>
    <w:rsid w:val="0004251C"/>
    <w:rsid w:val="000437B1"/>
    <w:rsid w:val="00057107"/>
    <w:rsid w:val="00062ECD"/>
    <w:rsid w:val="00066CF6"/>
    <w:rsid w:val="00075084"/>
    <w:rsid w:val="0007570B"/>
    <w:rsid w:val="00077529"/>
    <w:rsid w:val="00084049"/>
    <w:rsid w:val="000B0D20"/>
    <w:rsid w:val="000B1494"/>
    <w:rsid w:val="000B3F6D"/>
    <w:rsid w:val="000C24FA"/>
    <w:rsid w:val="000C3437"/>
    <w:rsid w:val="000C3F27"/>
    <w:rsid w:val="000C7FAD"/>
    <w:rsid w:val="000D0DE1"/>
    <w:rsid w:val="000D0EE8"/>
    <w:rsid w:val="000D4EEF"/>
    <w:rsid w:val="000E628E"/>
    <w:rsid w:val="00100A66"/>
    <w:rsid w:val="00100CD1"/>
    <w:rsid w:val="0010537F"/>
    <w:rsid w:val="00122BFC"/>
    <w:rsid w:val="001323AC"/>
    <w:rsid w:val="00135F7E"/>
    <w:rsid w:val="00137334"/>
    <w:rsid w:val="001375FF"/>
    <w:rsid w:val="00152048"/>
    <w:rsid w:val="00166752"/>
    <w:rsid w:val="0016721E"/>
    <w:rsid w:val="00167394"/>
    <w:rsid w:val="001757FC"/>
    <w:rsid w:val="00180EC0"/>
    <w:rsid w:val="00196DF4"/>
    <w:rsid w:val="001A535F"/>
    <w:rsid w:val="001B250B"/>
    <w:rsid w:val="001B4835"/>
    <w:rsid w:val="001B75DA"/>
    <w:rsid w:val="001C2C12"/>
    <w:rsid w:val="001D09A6"/>
    <w:rsid w:val="001D3BFC"/>
    <w:rsid w:val="001D5D89"/>
    <w:rsid w:val="001E10BA"/>
    <w:rsid w:val="001E44A2"/>
    <w:rsid w:val="001E5106"/>
    <w:rsid w:val="001E5DD5"/>
    <w:rsid w:val="001E6787"/>
    <w:rsid w:val="001E75EF"/>
    <w:rsid w:val="001F6FB9"/>
    <w:rsid w:val="0020398F"/>
    <w:rsid w:val="00206E24"/>
    <w:rsid w:val="00207589"/>
    <w:rsid w:val="0021089C"/>
    <w:rsid w:val="00215EF7"/>
    <w:rsid w:val="0023466A"/>
    <w:rsid w:val="002429CE"/>
    <w:rsid w:val="002454C0"/>
    <w:rsid w:val="00251347"/>
    <w:rsid w:val="00254BEF"/>
    <w:rsid w:val="00255AAF"/>
    <w:rsid w:val="0026678B"/>
    <w:rsid w:val="002672A1"/>
    <w:rsid w:val="00267DE1"/>
    <w:rsid w:val="002702C2"/>
    <w:rsid w:val="002814EC"/>
    <w:rsid w:val="00286923"/>
    <w:rsid w:val="002A1478"/>
    <w:rsid w:val="002B1245"/>
    <w:rsid w:val="002B19EE"/>
    <w:rsid w:val="002D3B3A"/>
    <w:rsid w:val="002D73AA"/>
    <w:rsid w:val="002D7F23"/>
    <w:rsid w:val="002F1253"/>
    <w:rsid w:val="002F3010"/>
    <w:rsid w:val="002F4006"/>
    <w:rsid w:val="002F411C"/>
    <w:rsid w:val="003050B7"/>
    <w:rsid w:val="00312522"/>
    <w:rsid w:val="003125F1"/>
    <w:rsid w:val="0031348C"/>
    <w:rsid w:val="003143FE"/>
    <w:rsid w:val="003147BD"/>
    <w:rsid w:val="003222D9"/>
    <w:rsid w:val="00322E7A"/>
    <w:rsid w:val="003324D8"/>
    <w:rsid w:val="003338B9"/>
    <w:rsid w:val="00334F01"/>
    <w:rsid w:val="0033511C"/>
    <w:rsid w:val="00335935"/>
    <w:rsid w:val="003476E8"/>
    <w:rsid w:val="00354137"/>
    <w:rsid w:val="00356C00"/>
    <w:rsid w:val="00362106"/>
    <w:rsid w:val="00371B80"/>
    <w:rsid w:val="0037201C"/>
    <w:rsid w:val="003757FF"/>
    <w:rsid w:val="003805F9"/>
    <w:rsid w:val="00383314"/>
    <w:rsid w:val="00385334"/>
    <w:rsid w:val="003B0912"/>
    <w:rsid w:val="003B3225"/>
    <w:rsid w:val="003B363D"/>
    <w:rsid w:val="003B6CD4"/>
    <w:rsid w:val="003C1D4F"/>
    <w:rsid w:val="003D269C"/>
    <w:rsid w:val="003D28A7"/>
    <w:rsid w:val="003F4AF0"/>
    <w:rsid w:val="003F5341"/>
    <w:rsid w:val="0040015B"/>
    <w:rsid w:val="00400161"/>
    <w:rsid w:val="004014DB"/>
    <w:rsid w:val="00413360"/>
    <w:rsid w:val="0041715F"/>
    <w:rsid w:val="0041765B"/>
    <w:rsid w:val="0042092A"/>
    <w:rsid w:val="00433494"/>
    <w:rsid w:val="00436C7E"/>
    <w:rsid w:val="004402D7"/>
    <w:rsid w:val="004808F1"/>
    <w:rsid w:val="00481528"/>
    <w:rsid w:val="0049684B"/>
    <w:rsid w:val="004977E0"/>
    <w:rsid w:val="004A6E4A"/>
    <w:rsid w:val="004D5CA0"/>
    <w:rsid w:val="004E246D"/>
    <w:rsid w:val="004E2CD2"/>
    <w:rsid w:val="004F6564"/>
    <w:rsid w:val="00501A36"/>
    <w:rsid w:val="00503E5A"/>
    <w:rsid w:val="00510021"/>
    <w:rsid w:val="005166B0"/>
    <w:rsid w:val="0052779B"/>
    <w:rsid w:val="00534D63"/>
    <w:rsid w:val="00535A45"/>
    <w:rsid w:val="005436D8"/>
    <w:rsid w:val="00545C63"/>
    <w:rsid w:val="00567E0F"/>
    <w:rsid w:val="005743F4"/>
    <w:rsid w:val="00582B0C"/>
    <w:rsid w:val="00584322"/>
    <w:rsid w:val="0058508C"/>
    <w:rsid w:val="00592183"/>
    <w:rsid w:val="00595DBD"/>
    <w:rsid w:val="005A29C9"/>
    <w:rsid w:val="005B0922"/>
    <w:rsid w:val="005B71D8"/>
    <w:rsid w:val="005D156E"/>
    <w:rsid w:val="005D262A"/>
    <w:rsid w:val="005E40EA"/>
    <w:rsid w:val="005E7CA9"/>
    <w:rsid w:val="005F1686"/>
    <w:rsid w:val="005F25FE"/>
    <w:rsid w:val="005F7BF4"/>
    <w:rsid w:val="00600567"/>
    <w:rsid w:val="0060594F"/>
    <w:rsid w:val="00610C68"/>
    <w:rsid w:val="0062563C"/>
    <w:rsid w:val="00627BA1"/>
    <w:rsid w:val="006353B0"/>
    <w:rsid w:val="00644735"/>
    <w:rsid w:val="0064529A"/>
    <w:rsid w:val="00655DBD"/>
    <w:rsid w:val="00660423"/>
    <w:rsid w:val="00665E99"/>
    <w:rsid w:val="00674698"/>
    <w:rsid w:val="00681F70"/>
    <w:rsid w:val="0068269F"/>
    <w:rsid w:val="006831C9"/>
    <w:rsid w:val="00684129"/>
    <w:rsid w:val="0068636F"/>
    <w:rsid w:val="006906FF"/>
    <w:rsid w:val="00690CAE"/>
    <w:rsid w:val="00691B9D"/>
    <w:rsid w:val="00693C74"/>
    <w:rsid w:val="00693D24"/>
    <w:rsid w:val="00695841"/>
    <w:rsid w:val="006A57CB"/>
    <w:rsid w:val="006B5CBB"/>
    <w:rsid w:val="006C0270"/>
    <w:rsid w:val="006C5A47"/>
    <w:rsid w:val="006D5CA8"/>
    <w:rsid w:val="006D707B"/>
    <w:rsid w:val="006E4A2C"/>
    <w:rsid w:val="006E67E9"/>
    <w:rsid w:val="006F3053"/>
    <w:rsid w:val="0071170F"/>
    <w:rsid w:val="007244D3"/>
    <w:rsid w:val="007418B5"/>
    <w:rsid w:val="0074252B"/>
    <w:rsid w:val="00745768"/>
    <w:rsid w:val="007469B9"/>
    <w:rsid w:val="00751067"/>
    <w:rsid w:val="0075404E"/>
    <w:rsid w:val="0076124E"/>
    <w:rsid w:val="00763AC5"/>
    <w:rsid w:val="00765520"/>
    <w:rsid w:val="00767B85"/>
    <w:rsid w:val="00792452"/>
    <w:rsid w:val="00794E6D"/>
    <w:rsid w:val="007A56CF"/>
    <w:rsid w:val="007A76E8"/>
    <w:rsid w:val="007B3772"/>
    <w:rsid w:val="007C0FBD"/>
    <w:rsid w:val="007D594C"/>
    <w:rsid w:val="007E4C61"/>
    <w:rsid w:val="007E7F34"/>
    <w:rsid w:val="007F3EDD"/>
    <w:rsid w:val="007F7D73"/>
    <w:rsid w:val="008119FD"/>
    <w:rsid w:val="0081344C"/>
    <w:rsid w:val="00823D7F"/>
    <w:rsid w:val="008274AB"/>
    <w:rsid w:val="00842710"/>
    <w:rsid w:val="00846ED4"/>
    <w:rsid w:val="00847F00"/>
    <w:rsid w:val="0085251E"/>
    <w:rsid w:val="00855321"/>
    <w:rsid w:val="00855A6B"/>
    <w:rsid w:val="00864CEA"/>
    <w:rsid w:val="00874D56"/>
    <w:rsid w:val="00874F3E"/>
    <w:rsid w:val="00876053"/>
    <w:rsid w:val="0089552E"/>
    <w:rsid w:val="008A1F18"/>
    <w:rsid w:val="008B3D28"/>
    <w:rsid w:val="008B4B90"/>
    <w:rsid w:val="008C0858"/>
    <w:rsid w:val="008C15A7"/>
    <w:rsid w:val="008C3768"/>
    <w:rsid w:val="008E7D4E"/>
    <w:rsid w:val="008F3F2D"/>
    <w:rsid w:val="008F603B"/>
    <w:rsid w:val="00901BBF"/>
    <w:rsid w:val="00910EDC"/>
    <w:rsid w:val="00911CFA"/>
    <w:rsid w:val="009157FD"/>
    <w:rsid w:val="0092203D"/>
    <w:rsid w:val="009259EE"/>
    <w:rsid w:val="00933428"/>
    <w:rsid w:val="00936209"/>
    <w:rsid w:val="00942396"/>
    <w:rsid w:val="009432D0"/>
    <w:rsid w:val="00951A56"/>
    <w:rsid w:val="00957AEB"/>
    <w:rsid w:val="00957CDF"/>
    <w:rsid w:val="00957F0E"/>
    <w:rsid w:val="00971836"/>
    <w:rsid w:val="00973581"/>
    <w:rsid w:val="009736FB"/>
    <w:rsid w:val="0097472C"/>
    <w:rsid w:val="00974E7D"/>
    <w:rsid w:val="0099331B"/>
    <w:rsid w:val="00993EF9"/>
    <w:rsid w:val="009B14E0"/>
    <w:rsid w:val="009B2030"/>
    <w:rsid w:val="009C5224"/>
    <w:rsid w:val="009E055F"/>
    <w:rsid w:val="009E45D0"/>
    <w:rsid w:val="009E61B4"/>
    <w:rsid w:val="009F0CA4"/>
    <w:rsid w:val="009F54D1"/>
    <w:rsid w:val="00A004D6"/>
    <w:rsid w:val="00A00644"/>
    <w:rsid w:val="00A02FE2"/>
    <w:rsid w:val="00A0369D"/>
    <w:rsid w:val="00A04F09"/>
    <w:rsid w:val="00A173BE"/>
    <w:rsid w:val="00A23AAD"/>
    <w:rsid w:val="00A24F23"/>
    <w:rsid w:val="00A30ACD"/>
    <w:rsid w:val="00A31E5A"/>
    <w:rsid w:val="00A50A0C"/>
    <w:rsid w:val="00A629D6"/>
    <w:rsid w:val="00A6497C"/>
    <w:rsid w:val="00A65B1A"/>
    <w:rsid w:val="00A67B4B"/>
    <w:rsid w:val="00A7199E"/>
    <w:rsid w:val="00A76BD9"/>
    <w:rsid w:val="00A77B68"/>
    <w:rsid w:val="00A842F2"/>
    <w:rsid w:val="00A84B7B"/>
    <w:rsid w:val="00A84D6A"/>
    <w:rsid w:val="00A85FD5"/>
    <w:rsid w:val="00A90737"/>
    <w:rsid w:val="00A90F21"/>
    <w:rsid w:val="00A9459F"/>
    <w:rsid w:val="00A960C0"/>
    <w:rsid w:val="00AA1258"/>
    <w:rsid w:val="00AA41AF"/>
    <w:rsid w:val="00AA78A6"/>
    <w:rsid w:val="00AB0DAB"/>
    <w:rsid w:val="00AB2691"/>
    <w:rsid w:val="00AC29BC"/>
    <w:rsid w:val="00AC4E32"/>
    <w:rsid w:val="00AC67FB"/>
    <w:rsid w:val="00AD0916"/>
    <w:rsid w:val="00AD2268"/>
    <w:rsid w:val="00AD326E"/>
    <w:rsid w:val="00AE3AC0"/>
    <w:rsid w:val="00AE43E9"/>
    <w:rsid w:val="00AE4569"/>
    <w:rsid w:val="00AE77ED"/>
    <w:rsid w:val="00AF1ECF"/>
    <w:rsid w:val="00B01238"/>
    <w:rsid w:val="00B024C5"/>
    <w:rsid w:val="00B02795"/>
    <w:rsid w:val="00B05438"/>
    <w:rsid w:val="00B1245A"/>
    <w:rsid w:val="00B147F7"/>
    <w:rsid w:val="00B16C8D"/>
    <w:rsid w:val="00B3632F"/>
    <w:rsid w:val="00B47D95"/>
    <w:rsid w:val="00B57FD5"/>
    <w:rsid w:val="00B617F1"/>
    <w:rsid w:val="00B62824"/>
    <w:rsid w:val="00B64E63"/>
    <w:rsid w:val="00B678C4"/>
    <w:rsid w:val="00B73FFB"/>
    <w:rsid w:val="00B76B3E"/>
    <w:rsid w:val="00B80B4F"/>
    <w:rsid w:val="00B81EF2"/>
    <w:rsid w:val="00B828E5"/>
    <w:rsid w:val="00B90CF2"/>
    <w:rsid w:val="00BA0A7C"/>
    <w:rsid w:val="00BA3F7F"/>
    <w:rsid w:val="00BB1BBB"/>
    <w:rsid w:val="00BB373A"/>
    <w:rsid w:val="00BB3D48"/>
    <w:rsid w:val="00BD16FC"/>
    <w:rsid w:val="00BD667F"/>
    <w:rsid w:val="00C00FC8"/>
    <w:rsid w:val="00C068A7"/>
    <w:rsid w:val="00C13B06"/>
    <w:rsid w:val="00C1635D"/>
    <w:rsid w:val="00C16F6B"/>
    <w:rsid w:val="00C258F3"/>
    <w:rsid w:val="00C26C82"/>
    <w:rsid w:val="00C33D1B"/>
    <w:rsid w:val="00C43FB9"/>
    <w:rsid w:val="00C44F43"/>
    <w:rsid w:val="00C454C0"/>
    <w:rsid w:val="00C5594B"/>
    <w:rsid w:val="00C61994"/>
    <w:rsid w:val="00C64B86"/>
    <w:rsid w:val="00C65B15"/>
    <w:rsid w:val="00C70829"/>
    <w:rsid w:val="00C765D6"/>
    <w:rsid w:val="00C7781C"/>
    <w:rsid w:val="00C912C1"/>
    <w:rsid w:val="00C95885"/>
    <w:rsid w:val="00C96D77"/>
    <w:rsid w:val="00CA3D64"/>
    <w:rsid w:val="00CA544B"/>
    <w:rsid w:val="00CB4173"/>
    <w:rsid w:val="00CC460A"/>
    <w:rsid w:val="00CC4ADF"/>
    <w:rsid w:val="00CD19DF"/>
    <w:rsid w:val="00CD68B2"/>
    <w:rsid w:val="00CD6FD5"/>
    <w:rsid w:val="00CF4C77"/>
    <w:rsid w:val="00D068BD"/>
    <w:rsid w:val="00D07749"/>
    <w:rsid w:val="00D07FE9"/>
    <w:rsid w:val="00D1177F"/>
    <w:rsid w:val="00D2002F"/>
    <w:rsid w:val="00D20A12"/>
    <w:rsid w:val="00D264B3"/>
    <w:rsid w:val="00D274F6"/>
    <w:rsid w:val="00D34898"/>
    <w:rsid w:val="00D36176"/>
    <w:rsid w:val="00D45024"/>
    <w:rsid w:val="00D501BD"/>
    <w:rsid w:val="00D53BD2"/>
    <w:rsid w:val="00D55340"/>
    <w:rsid w:val="00D55CDF"/>
    <w:rsid w:val="00D566AB"/>
    <w:rsid w:val="00D65949"/>
    <w:rsid w:val="00D65BE6"/>
    <w:rsid w:val="00D73703"/>
    <w:rsid w:val="00D816BB"/>
    <w:rsid w:val="00D82E62"/>
    <w:rsid w:val="00DA00C6"/>
    <w:rsid w:val="00DA1767"/>
    <w:rsid w:val="00DB63C0"/>
    <w:rsid w:val="00DC4590"/>
    <w:rsid w:val="00DC5ABD"/>
    <w:rsid w:val="00DD4D60"/>
    <w:rsid w:val="00DD54A1"/>
    <w:rsid w:val="00DE3C3D"/>
    <w:rsid w:val="00E00C7B"/>
    <w:rsid w:val="00E10A35"/>
    <w:rsid w:val="00E220ED"/>
    <w:rsid w:val="00E323EC"/>
    <w:rsid w:val="00E363B2"/>
    <w:rsid w:val="00E40499"/>
    <w:rsid w:val="00E4777A"/>
    <w:rsid w:val="00E53824"/>
    <w:rsid w:val="00E55A17"/>
    <w:rsid w:val="00E57DAB"/>
    <w:rsid w:val="00E666BF"/>
    <w:rsid w:val="00E70DF8"/>
    <w:rsid w:val="00E80710"/>
    <w:rsid w:val="00E846EE"/>
    <w:rsid w:val="00E9240E"/>
    <w:rsid w:val="00E9341A"/>
    <w:rsid w:val="00E94C73"/>
    <w:rsid w:val="00E953A2"/>
    <w:rsid w:val="00EA3FA5"/>
    <w:rsid w:val="00EB590F"/>
    <w:rsid w:val="00EB7490"/>
    <w:rsid w:val="00ED7568"/>
    <w:rsid w:val="00EE32FB"/>
    <w:rsid w:val="00EE3931"/>
    <w:rsid w:val="00EE7CE8"/>
    <w:rsid w:val="00EF16C9"/>
    <w:rsid w:val="00F04FAA"/>
    <w:rsid w:val="00F1144D"/>
    <w:rsid w:val="00F14D5C"/>
    <w:rsid w:val="00F23119"/>
    <w:rsid w:val="00F23689"/>
    <w:rsid w:val="00F321E9"/>
    <w:rsid w:val="00F33DBA"/>
    <w:rsid w:val="00F45025"/>
    <w:rsid w:val="00F5482F"/>
    <w:rsid w:val="00F57B75"/>
    <w:rsid w:val="00F62055"/>
    <w:rsid w:val="00F63D39"/>
    <w:rsid w:val="00F75AEE"/>
    <w:rsid w:val="00F9481C"/>
    <w:rsid w:val="00FA0F77"/>
    <w:rsid w:val="00FA6281"/>
    <w:rsid w:val="00FB1EE6"/>
    <w:rsid w:val="00FB20AD"/>
    <w:rsid w:val="00FC2053"/>
    <w:rsid w:val="00FC2E58"/>
    <w:rsid w:val="00FD39E6"/>
    <w:rsid w:val="00FD457A"/>
    <w:rsid w:val="00FD657C"/>
    <w:rsid w:val="00FF35B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3EAFCF"/>
  <w15:docId w15:val="{EC472E01-1915-4546-814A-69E5E3961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1"/>
    <w:qFormat/>
    <w:rsid w:val="00C64B86"/>
    <w:pPr>
      <w:ind w:left="720"/>
      <w:contextualSpacing/>
    </w:pPr>
  </w:style>
  <w:style w:type="character" w:styleId="Appelnotedebasdep">
    <w:name w:val="footnote reference"/>
    <w:basedOn w:val="Policepardfaut"/>
    <w:uiPriority w:val="99"/>
    <w:semiHidden/>
    <w:unhideWhenUsed/>
    <w:rsid w:val="00CA3D64"/>
    <w:rPr>
      <w:vertAlign w:val="superscript"/>
    </w:rPr>
  </w:style>
  <w:style w:type="table" w:styleId="Grilledutableau">
    <w:name w:val="Table Grid"/>
    <w:basedOn w:val="TableauNormal"/>
    <w:uiPriority w:val="59"/>
    <w:rsid w:val="00DC4590"/>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503E5A"/>
    <w:rPr>
      <w:sz w:val="22"/>
      <w:szCs w:val="22"/>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D55CDF"/>
    <w:rPr>
      <w:sz w:val="22"/>
      <w:szCs w:val="22"/>
      <w:lang w:val="fr-FR" w:eastAsia="fr-FR"/>
    </w:rPr>
  </w:style>
  <w:style w:type="table" w:customStyle="1" w:styleId="Grilledutableau2">
    <w:name w:val="Grille du tableau2"/>
    <w:basedOn w:val="TableauNormal"/>
    <w:next w:val="Grilledutableau"/>
    <w:uiPriority w:val="59"/>
    <w:rsid w:val="00D55CDF"/>
    <w:rPr>
      <w:rFonts w:ascii="Times New Roman" w:eastAsia="PMingLiU" w:hAnsi="Times New Roman"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F1ECF"/>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AF1ECF"/>
    <w:rPr>
      <w:b/>
      <w:bCs/>
    </w:rPr>
  </w:style>
  <w:style w:type="character" w:styleId="Accentuation">
    <w:name w:val="Emphasis"/>
    <w:basedOn w:val="Policepardfaut"/>
    <w:uiPriority w:val="20"/>
    <w:qFormat/>
    <w:rsid w:val="00AF1ECF"/>
    <w:rPr>
      <w:i/>
      <w:iCs/>
    </w:rPr>
  </w:style>
  <w:style w:type="character" w:customStyle="1" w:styleId="apple-converted-space">
    <w:name w:val="apple-converted-space"/>
    <w:basedOn w:val="Policepardfaut"/>
    <w:rsid w:val="00AF1ECF"/>
  </w:style>
  <w:style w:type="paragraph" w:styleId="Notedebasdepage">
    <w:name w:val="footnote text"/>
    <w:basedOn w:val="Normal"/>
    <w:link w:val="NotedebasdepageCar"/>
    <w:uiPriority w:val="99"/>
    <w:semiHidden/>
    <w:unhideWhenUsed/>
    <w:rsid w:val="00481528"/>
    <w:pPr>
      <w:spacing w:after="0" w:line="240" w:lineRule="auto"/>
      <w:ind w:left="340"/>
    </w:pPr>
    <w:rPr>
      <w:rFonts w:eastAsiaTheme="minorHAnsi"/>
      <w:sz w:val="20"/>
      <w:szCs w:val="20"/>
      <w:lang w:eastAsia="en-US"/>
    </w:rPr>
  </w:style>
  <w:style w:type="character" w:customStyle="1" w:styleId="NotedebasdepageCar">
    <w:name w:val="Note de bas de page Car"/>
    <w:basedOn w:val="Policepardfaut"/>
    <w:link w:val="Notedebasdepage"/>
    <w:uiPriority w:val="99"/>
    <w:semiHidden/>
    <w:rsid w:val="00481528"/>
    <w:rPr>
      <w:rFonts w:eastAsiaTheme="minorHAnsi"/>
      <w:sz w:val="20"/>
      <w:szCs w:val="20"/>
      <w:lang w:val="fr-FR"/>
    </w:rPr>
  </w:style>
  <w:style w:type="character" w:styleId="Marquedecommentaire">
    <w:name w:val="annotation reference"/>
    <w:basedOn w:val="Policepardfaut"/>
    <w:uiPriority w:val="99"/>
    <w:semiHidden/>
    <w:unhideWhenUsed/>
    <w:rsid w:val="00400161"/>
    <w:rPr>
      <w:sz w:val="18"/>
      <w:szCs w:val="18"/>
    </w:rPr>
  </w:style>
  <w:style w:type="paragraph" w:styleId="Commentaire">
    <w:name w:val="annotation text"/>
    <w:basedOn w:val="Normal"/>
    <w:link w:val="CommentaireCar"/>
    <w:uiPriority w:val="99"/>
    <w:semiHidden/>
    <w:unhideWhenUsed/>
    <w:rsid w:val="00400161"/>
    <w:pPr>
      <w:spacing w:line="240" w:lineRule="auto"/>
    </w:pPr>
    <w:rPr>
      <w:sz w:val="24"/>
      <w:szCs w:val="24"/>
    </w:rPr>
  </w:style>
  <w:style w:type="character" w:customStyle="1" w:styleId="CommentaireCar">
    <w:name w:val="Commentaire Car"/>
    <w:basedOn w:val="Policepardfaut"/>
    <w:link w:val="Commentaire"/>
    <w:uiPriority w:val="99"/>
    <w:semiHidden/>
    <w:rsid w:val="00400161"/>
    <w:rPr>
      <w:lang w:val="fr-FR" w:eastAsia="fr-FR"/>
    </w:rPr>
  </w:style>
  <w:style w:type="paragraph" w:styleId="Objetducommentaire">
    <w:name w:val="annotation subject"/>
    <w:basedOn w:val="Commentaire"/>
    <w:next w:val="Commentaire"/>
    <w:link w:val="ObjetducommentaireCar"/>
    <w:uiPriority w:val="99"/>
    <w:semiHidden/>
    <w:unhideWhenUsed/>
    <w:rsid w:val="00400161"/>
    <w:rPr>
      <w:b/>
      <w:bCs/>
      <w:sz w:val="20"/>
      <w:szCs w:val="20"/>
    </w:rPr>
  </w:style>
  <w:style w:type="character" w:customStyle="1" w:styleId="ObjetducommentaireCar">
    <w:name w:val="Objet du commentaire Car"/>
    <w:basedOn w:val="CommentaireCar"/>
    <w:link w:val="Objetducommentaire"/>
    <w:uiPriority w:val="99"/>
    <w:semiHidden/>
    <w:rsid w:val="00400161"/>
    <w:rPr>
      <w:b/>
      <w:bCs/>
      <w:sz w:val="20"/>
      <w:szCs w:val="20"/>
      <w:lang w:val="fr-FR" w:eastAsia="fr-FR"/>
    </w:rPr>
  </w:style>
  <w:style w:type="paragraph" w:styleId="Notedefin">
    <w:name w:val="endnote text"/>
    <w:basedOn w:val="Normal"/>
    <w:link w:val="NotedefinCar"/>
    <w:uiPriority w:val="99"/>
    <w:semiHidden/>
    <w:unhideWhenUsed/>
    <w:rsid w:val="00C454C0"/>
    <w:pPr>
      <w:spacing w:after="0" w:line="240" w:lineRule="auto"/>
    </w:pPr>
    <w:rPr>
      <w:sz w:val="20"/>
      <w:szCs w:val="20"/>
    </w:rPr>
  </w:style>
  <w:style w:type="character" w:customStyle="1" w:styleId="NotedefinCar">
    <w:name w:val="Note de fin Car"/>
    <w:basedOn w:val="Policepardfaut"/>
    <w:link w:val="Notedefin"/>
    <w:uiPriority w:val="99"/>
    <w:semiHidden/>
    <w:rsid w:val="00C454C0"/>
    <w:rPr>
      <w:sz w:val="20"/>
      <w:szCs w:val="20"/>
      <w:lang w:val="fr-FR" w:eastAsia="fr-FR"/>
    </w:rPr>
  </w:style>
  <w:style w:type="character" w:styleId="Appeldenotedefin">
    <w:name w:val="endnote reference"/>
    <w:basedOn w:val="Policepardfaut"/>
    <w:uiPriority w:val="99"/>
    <w:semiHidden/>
    <w:unhideWhenUsed/>
    <w:rsid w:val="00C454C0"/>
    <w:rPr>
      <w:vertAlign w:val="superscript"/>
    </w:rPr>
  </w:style>
  <w:style w:type="character" w:styleId="Lienhypertexte">
    <w:name w:val="Hyperlink"/>
    <w:basedOn w:val="Policepardfaut"/>
    <w:uiPriority w:val="99"/>
    <w:unhideWhenUsed/>
    <w:rsid w:val="00C454C0"/>
    <w:rPr>
      <w:color w:val="0000FF" w:themeColor="hyperlink"/>
      <w:u w:val="single"/>
    </w:rPr>
  </w:style>
  <w:style w:type="character" w:customStyle="1" w:styleId="Mentionnonrsolue1">
    <w:name w:val="Mention non résolue1"/>
    <w:basedOn w:val="Policepardfaut"/>
    <w:uiPriority w:val="99"/>
    <w:semiHidden/>
    <w:unhideWhenUsed/>
    <w:rsid w:val="00C454C0"/>
    <w:rPr>
      <w:color w:val="605E5C"/>
      <w:shd w:val="clear" w:color="auto" w:fill="E1DFDD"/>
    </w:rPr>
  </w:style>
  <w:style w:type="paragraph" w:styleId="Corpsdetexte">
    <w:name w:val="Body Text"/>
    <w:basedOn w:val="Normal"/>
    <w:link w:val="CorpsdetexteCar"/>
    <w:uiPriority w:val="1"/>
    <w:qFormat/>
    <w:rsid w:val="002429CE"/>
    <w:pPr>
      <w:widowControl w:val="0"/>
      <w:autoSpaceDE w:val="0"/>
      <w:autoSpaceDN w:val="0"/>
      <w:spacing w:before="55" w:after="0" w:line="240" w:lineRule="auto"/>
      <w:ind w:left="109" w:right="123" w:firstLine="283"/>
      <w:jc w:val="both"/>
    </w:pPr>
    <w:rPr>
      <w:rFonts w:ascii="Times New Roman" w:eastAsia="Times New Roman" w:hAnsi="Times New Roman" w:cs="Times New Roman"/>
      <w:lang w:val="en-US" w:eastAsia="en-US"/>
    </w:rPr>
  </w:style>
  <w:style w:type="character" w:customStyle="1" w:styleId="CorpsdetexteCar">
    <w:name w:val="Corps de texte Car"/>
    <w:basedOn w:val="Policepardfaut"/>
    <w:link w:val="Corpsdetexte"/>
    <w:uiPriority w:val="1"/>
    <w:rsid w:val="002429CE"/>
    <w:rPr>
      <w:rFonts w:ascii="Times New Roman" w:eastAsia="Times New Roman" w:hAnsi="Times New Roman" w:cs="Times New Roman"/>
      <w:sz w:val="22"/>
      <w:szCs w:val="22"/>
    </w:rPr>
  </w:style>
  <w:style w:type="character" w:styleId="Mentionnonrsolue">
    <w:name w:val="Unresolved Mention"/>
    <w:basedOn w:val="Policepardfaut"/>
    <w:uiPriority w:val="99"/>
    <w:semiHidden/>
    <w:unhideWhenUsed/>
    <w:rsid w:val="00F114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817092">
      <w:bodyDiv w:val="1"/>
      <w:marLeft w:val="0"/>
      <w:marRight w:val="0"/>
      <w:marTop w:val="0"/>
      <w:marBottom w:val="0"/>
      <w:divBdr>
        <w:top w:val="none" w:sz="0" w:space="0" w:color="auto"/>
        <w:left w:val="none" w:sz="0" w:space="0" w:color="auto"/>
        <w:bottom w:val="none" w:sz="0" w:space="0" w:color="auto"/>
        <w:right w:val="none" w:sz="0" w:space="0" w:color="auto"/>
      </w:divBdr>
    </w:div>
    <w:div w:id="706299383">
      <w:bodyDiv w:val="1"/>
      <w:marLeft w:val="0"/>
      <w:marRight w:val="0"/>
      <w:marTop w:val="0"/>
      <w:marBottom w:val="0"/>
      <w:divBdr>
        <w:top w:val="none" w:sz="0" w:space="0" w:color="auto"/>
        <w:left w:val="none" w:sz="0" w:space="0" w:color="auto"/>
        <w:bottom w:val="none" w:sz="0" w:space="0" w:color="auto"/>
        <w:right w:val="none" w:sz="0" w:space="0" w:color="auto"/>
      </w:divBdr>
    </w:div>
    <w:div w:id="714500622">
      <w:bodyDiv w:val="1"/>
      <w:marLeft w:val="0"/>
      <w:marRight w:val="0"/>
      <w:marTop w:val="0"/>
      <w:marBottom w:val="0"/>
      <w:divBdr>
        <w:top w:val="none" w:sz="0" w:space="0" w:color="auto"/>
        <w:left w:val="none" w:sz="0" w:space="0" w:color="auto"/>
        <w:bottom w:val="none" w:sz="0" w:space="0" w:color="auto"/>
        <w:right w:val="none" w:sz="0" w:space="0" w:color="auto"/>
      </w:divBdr>
    </w:div>
    <w:div w:id="1144932795">
      <w:bodyDiv w:val="1"/>
      <w:marLeft w:val="0"/>
      <w:marRight w:val="0"/>
      <w:marTop w:val="0"/>
      <w:marBottom w:val="0"/>
      <w:divBdr>
        <w:top w:val="none" w:sz="0" w:space="0" w:color="auto"/>
        <w:left w:val="none" w:sz="0" w:space="0" w:color="auto"/>
        <w:bottom w:val="none" w:sz="0" w:space="0" w:color="auto"/>
        <w:right w:val="none" w:sz="0" w:space="0" w:color="auto"/>
      </w:divBdr>
    </w:div>
    <w:div w:id="1154107234">
      <w:bodyDiv w:val="1"/>
      <w:marLeft w:val="0"/>
      <w:marRight w:val="0"/>
      <w:marTop w:val="0"/>
      <w:marBottom w:val="0"/>
      <w:divBdr>
        <w:top w:val="none" w:sz="0" w:space="0" w:color="auto"/>
        <w:left w:val="none" w:sz="0" w:space="0" w:color="auto"/>
        <w:bottom w:val="none" w:sz="0" w:space="0" w:color="auto"/>
        <w:right w:val="none" w:sz="0" w:space="0" w:color="auto"/>
      </w:divBdr>
    </w:div>
    <w:div w:id="1249926116">
      <w:bodyDiv w:val="1"/>
      <w:marLeft w:val="0"/>
      <w:marRight w:val="0"/>
      <w:marTop w:val="0"/>
      <w:marBottom w:val="0"/>
      <w:divBdr>
        <w:top w:val="none" w:sz="0" w:space="0" w:color="auto"/>
        <w:left w:val="none" w:sz="0" w:space="0" w:color="auto"/>
        <w:bottom w:val="none" w:sz="0" w:space="0" w:color="auto"/>
        <w:right w:val="none" w:sz="0" w:space="0" w:color="auto"/>
      </w:divBdr>
    </w:div>
    <w:div w:id="1389721004">
      <w:bodyDiv w:val="1"/>
      <w:marLeft w:val="0"/>
      <w:marRight w:val="0"/>
      <w:marTop w:val="0"/>
      <w:marBottom w:val="0"/>
      <w:divBdr>
        <w:top w:val="none" w:sz="0" w:space="0" w:color="auto"/>
        <w:left w:val="none" w:sz="0" w:space="0" w:color="auto"/>
        <w:bottom w:val="none" w:sz="0" w:space="0" w:color="auto"/>
        <w:right w:val="none" w:sz="0" w:space="0" w:color="auto"/>
      </w:divBdr>
    </w:div>
    <w:div w:id="1570576460">
      <w:bodyDiv w:val="1"/>
      <w:marLeft w:val="0"/>
      <w:marRight w:val="0"/>
      <w:marTop w:val="0"/>
      <w:marBottom w:val="0"/>
      <w:divBdr>
        <w:top w:val="none" w:sz="0" w:space="0" w:color="auto"/>
        <w:left w:val="none" w:sz="0" w:space="0" w:color="auto"/>
        <w:bottom w:val="none" w:sz="0" w:space="0" w:color="auto"/>
        <w:right w:val="none" w:sz="0" w:space="0" w:color="auto"/>
      </w:divBdr>
    </w:div>
    <w:div w:id="18897542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islation-securite.tn/fr/law/4388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EBD3C-F509-40FC-AA09-309E96E82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1928</Words>
  <Characters>10995</Characters>
  <Application>Microsoft Office Word</Application>
  <DocSecurity>0</DocSecurity>
  <Lines>91</Lines>
  <Paragraphs>25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DCAF Tunis</dc:creator>
  <cp:lastModifiedBy>Melki Aliya</cp:lastModifiedBy>
  <cp:revision>2</cp:revision>
  <cp:lastPrinted>2022-04-20T10:11:00Z</cp:lastPrinted>
  <dcterms:created xsi:type="dcterms:W3CDTF">2022-04-21T08:50:00Z</dcterms:created>
  <dcterms:modified xsi:type="dcterms:W3CDTF">2022-04-21T08:50:00Z</dcterms:modified>
</cp:coreProperties>
</file>