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282E" w14:textId="1823B011" w:rsidR="00E947F5" w:rsidRDefault="00463A19" w:rsidP="00E947F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BD2F" wp14:editId="3C811A1B">
                <wp:simplePos x="0" y="0"/>
                <wp:positionH relativeFrom="margin">
                  <wp:posOffset>156210</wp:posOffset>
                </wp:positionH>
                <wp:positionV relativeFrom="paragraph">
                  <wp:posOffset>-26034</wp:posOffset>
                </wp:positionV>
                <wp:extent cx="5943600" cy="60960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BDFF5" w14:textId="450733B5" w:rsidR="00463A19" w:rsidRDefault="00463A19" w:rsidP="00463A19">
                            <w:pPr>
                              <w:jc w:val="both"/>
                            </w:pPr>
                            <w:r w:rsidRPr="006A3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32423"/>
                              </w:rPr>
                              <w:t>Traduction préliminaire non officielle faite par le Bureau de Tunis du Centre pour le contrôle démocratique des forces armées – Genève (DCAF).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BD2F" id="Rectangle 6" o:spid="_x0000_s1026" style="position:absolute;left:0;text-align:left;margin-left:12.3pt;margin-top:-2.05pt;width:46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8HkAIAAJMFAAAOAAAAZHJzL2Uyb0RvYy54bWysVFtP2zAUfp+0/2D5faQtpYOIFFUgpkkM&#10;EDDx7Dp2G8n28Wy3Sffrd2ynoTC0SdNeknO/+Tvn/KLTimyF8w2Yio6PRpQIw6FuzKqi35+uP51S&#10;4gMzNVNgREV3wtOL+ccP560txQTWoGrhCAYxvmxtRdch2LIoPF8LzfwRWGFQKcFpFpB1q6J2rMXo&#10;WhWT0WhWtOBq64AL71F6lZV0nuJLKXi4k9KLQFRFsbaQvi59l/FbzM9ZuXLMrhvel8H+oQrNGoNJ&#10;h1BXLDCycc1voXTDHXiQ4YiDLkDKhovUA3YzHr3p5nHNrEi94HC8Hcbk/19Yfru9d6SpKzqjxDCN&#10;T/SAQ2NmpQSZxfG01pdo9WjvXc95JGOvnXQ6/rEL0qWR7oaRii4QjsKTs+nxbIST56ibjc4ijWGK&#10;F2/rfPgiQJNIVNRh9jRJtr3xIZvuTWIyD6qprxulEhNhIi6VI1uGD8w4FyZMkrva6G9QZzkCJadl&#10;JYoREFl8uhdjNQlwMVKq7SBJEfvPHScq7JSIqZV5EBIHhz2OU8IhwutacgfJOrpJrHxwPP67Y28f&#10;XUWC8+Cc2/xj1sEjZQYTBmfdGHDvZVdh3L+PzPY4j4O+Ixm6ZdcjYQn1DuHjIO+Vt/y6wVe8YT7c&#10;M4eLhA+PxyHc4UcqaCsKPUXJGtzP9+TRHvGNWkpaXMyK+h8b5gQl6qtB5J+Np9O4yYmZnnyeIOMO&#10;NctDjdnoS0BojPEMWZ7IaB/UnpQO9DPekEXMiipmOOauKA9uz1yGfDDwCnGxWCQz3F7Lwo15tHwP&#10;gIjSp+6ZOdtDOeAS3MJ+iVn5BtHZNj6NgcUmgGwS3OOI81z70ePmJ1D2VyqelkM+Wb3c0vkvAAAA&#10;//8DAFBLAwQUAAYACAAAACEAA4gCm98AAAAIAQAADwAAAGRycy9kb3ducmV2LnhtbEyPzU7DMBCE&#10;70i8g7VIXKLWSVVFNMSp+BGc4EBp7068TSLidWS7bcLTs5zgtrszmv2m3E52EGf0oXekIFumIJAa&#10;Z3pqFew/XxZ3IELUZPTgCBXMGGBbXV+VujDuQh943sVWcAiFQivoYhwLKUPTodVh6UYk1o7OWx15&#10;9a00Xl843A5ylaa5tLon/tDpEZ86bL52J6sgeT68zcdBtt/J/P7qk0e5rw9Sqdub6eEeRMQp/pnh&#10;F5/RoWKm2p3IBDEoWK1zdipYrDMQrG/ylA81D9kGZFXK/wWqHwAAAP//AwBQSwECLQAUAAYACAAA&#10;ACEAtoM4kv4AAADhAQAAEwAAAAAAAAAAAAAAAAAAAAAAW0NvbnRlbnRfVHlwZXNdLnhtbFBLAQIt&#10;ABQABgAIAAAAIQA4/SH/1gAAAJQBAAALAAAAAAAAAAAAAAAAAC8BAABfcmVscy8ucmVsc1BLAQIt&#10;ABQABgAIAAAAIQDud+8HkAIAAJMFAAAOAAAAAAAAAAAAAAAAAC4CAABkcnMvZTJvRG9jLnhtbFBL&#10;AQItABQABgAIAAAAIQADiAKb3wAAAAgBAAAPAAAAAAAAAAAAAAAAAOoEAABkcnMvZG93bnJldi54&#10;bWxQSwUGAAAAAAQABADzAAAA9gUAAAAA&#10;" fillcolor="#f2dbdb [661]" strokecolor="#bc4542 [3045]">
                <v:shadow on="t" color="black" opacity="22937f" origin=",.5" offset="0,.63889mm"/>
                <v:textbox>
                  <w:txbxContent>
                    <w:p w14:paraId="50FBDFF5" w14:textId="450733B5" w:rsidR="00463A19" w:rsidRDefault="00463A19" w:rsidP="00463A19">
                      <w:pPr>
                        <w:jc w:val="both"/>
                      </w:pPr>
                      <w:r w:rsidRPr="006A309C">
                        <w:rPr>
                          <w:rFonts w:ascii="Arial" w:eastAsia="Times New Roman" w:hAnsi="Arial" w:cs="Arial"/>
                          <w:b/>
                          <w:bCs/>
                          <w:color w:val="632423"/>
                        </w:rPr>
                        <w:t>Traduction préliminaire non officielle faite par le Bureau de Tunis du Centre pour le contrôle démocratique des forces armées – Genève (DCAF).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8B510B" w14:textId="31BDF1CE" w:rsidR="006A309C" w:rsidRPr="006A309C" w:rsidRDefault="006A309C" w:rsidP="006A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A309C" w:rsidRPr="006A309C" w14:paraId="7A6FF97A" w14:textId="77777777" w:rsidTr="00463A19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55B0CB31" w14:textId="01182EDF" w:rsidR="006A309C" w:rsidRPr="006A309C" w:rsidRDefault="006A309C" w:rsidP="006A309C">
            <w:pPr>
              <w:spacing w:line="240" w:lineRule="auto"/>
              <w:jc w:val="both"/>
              <w:divId w:val="168182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99CF8F" w14:textId="77777777" w:rsidR="006A309C" w:rsidRPr="006A309C" w:rsidRDefault="006A309C" w:rsidP="006A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A7A5D" w14:textId="4029A174" w:rsidR="006A309C" w:rsidRDefault="006A309C" w:rsidP="00E947F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02FCAD2" w14:textId="5757F0B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947F5">
        <w:rPr>
          <w:rFonts w:ascii="Arial" w:hAnsi="Arial" w:cs="Arial"/>
          <w:b/>
          <w:bCs/>
          <w:sz w:val="24"/>
          <w:szCs w:val="24"/>
        </w:rPr>
        <w:t xml:space="preserve">Arrêté du ministre de l'intérieur </w:t>
      </w:r>
      <w:r w:rsidR="0099778D">
        <w:rPr>
          <w:rFonts w:ascii="Arial" w:hAnsi="Arial" w:cs="Arial"/>
          <w:b/>
          <w:bCs/>
          <w:sz w:val="24"/>
          <w:szCs w:val="24"/>
        </w:rPr>
        <w:t xml:space="preserve">par intérim </w:t>
      </w:r>
      <w:r w:rsidRPr="00E947F5">
        <w:rPr>
          <w:rFonts w:ascii="Arial" w:hAnsi="Arial" w:cs="Arial"/>
          <w:b/>
          <w:bCs/>
          <w:sz w:val="24"/>
          <w:szCs w:val="24"/>
        </w:rPr>
        <w:t xml:space="preserve">du </w:t>
      </w:r>
      <w:r w:rsidR="0099778D">
        <w:rPr>
          <w:rFonts w:ascii="Arial" w:hAnsi="Arial" w:cs="Arial"/>
          <w:b/>
          <w:bCs/>
          <w:sz w:val="24"/>
          <w:szCs w:val="24"/>
        </w:rPr>
        <w:t>27 juin 2018</w:t>
      </w:r>
      <w:r w:rsidRPr="00E947F5">
        <w:rPr>
          <w:rFonts w:ascii="Arial" w:hAnsi="Arial" w:cs="Arial"/>
          <w:b/>
          <w:bCs/>
          <w:sz w:val="24"/>
          <w:szCs w:val="24"/>
        </w:rPr>
        <w:t>, portant délégation de pouvoir en matière disciplinaire aux agents du corps de la sûreté nationale et de la police nationale</w:t>
      </w:r>
    </w:p>
    <w:p w14:paraId="70A27F07" w14:textId="77777777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4A85E2" w14:textId="77777777" w:rsidR="00FB7E39" w:rsidRDefault="00FB7E39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2AC35B" w14:textId="77777777" w:rsidR="00FB7E39" w:rsidRDefault="00FB7E39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Style w:val="EndnoteReference"/>
          <w:rFonts w:ascii="Arial" w:hAnsi="Arial" w:cs="Arial"/>
          <w:sz w:val="20"/>
          <w:szCs w:val="20"/>
        </w:rPr>
        <w:endnoteReference w:id="1"/>
      </w:r>
    </w:p>
    <w:p w14:paraId="5484BDCB" w14:textId="12F23011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 xml:space="preserve">Le ministre de l'intérieur, </w:t>
      </w:r>
    </w:p>
    <w:p w14:paraId="2C423146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371F6FB" w14:textId="77777777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 xml:space="preserve">Vu la constitution et notamment son article 94, </w:t>
      </w:r>
    </w:p>
    <w:p w14:paraId="026905A1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1CB3AE" w14:textId="2244CA8A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 xml:space="preserve">Vu la loi n° 82-70 du 6 août 1982, portant statut général des forces de sûreté intérieure, ensemble </w:t>
      </w:r>
      <w:r w:rsidR="00A52986" w:rsidRPr="00E947F5">
        <w:rPr>
          <w:rFonts w:ascii="Arial" w:hAnsi="Arial" w:cs="Arial"/>
          <w:sz w:val="20"/>
          <w:szCs w:val="20"/>
        </w:rPr>
        <w:t>les textes</w:t>
      </w:r>
      <w:r w:rsidRPr="00E947F5">
        <w:rPr>
          <w:rFonts w:ascii="Arial" w:hAnsi="Arial" w:cs="Arial"/>
          <w:sz w:val="20"/>
          <w:szCs w:val="20"/>
        </w:rPr>
        <w:t xml:space="preserve"> qui l'ont modifiée ou complétée et notamment la loi n° 2013-50 du 19 décembre 2013 en son article 50, </w:t>
      </w:r>
    </w:p>
    <w:p w14:paraId="120991A3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25F267" w14:textId="77777777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 xml:space="preserve">Vu le décret n° 2006-1160 du 13 avril 2006, portant statut particulier des agents du corps de la sûreté nationale et de la police nationale, tel que modifié par le décret n° 2011-1260 du 5 septembre 2011 et notamment son article 28, </w:t>
      </w:r>
    </w:p>
    <w:p w14:paraId="1424CAC6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D12B3E" w14:textId="0F4DB2C2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 xml:space="preserve">Vu le décret n° 2007-246 du 15 août 2007, relatif à l'organisation des structures des forces de sûreté intérieure au ministère de l'intérieur et du développement local, ensemble les textes qui l'ont modifié ou complété et notamment le décret </w:t>
      </w:r>
      <w:r w:rsidR="008C75C9">
        <w:rPr>
          <w:rFonts w:ascii="Arial" w:hAnsi="Arial" w:cs="Arial"/>
          <w:sz w:val="20"/>
          <w:szCs w:val="20"/>
        </w:rPr>
        <w:t>gouvernemental n° 2017-243 du 9 juin 2017,</w:t>
      </w:r>
    </w:p>
    <w:p w14:paraId="6283CD04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5D1068" w14:textId="4AFB5B3D" w:rsidR="00E947F5" w:rsidRDefault="0099778D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</w:t>
      </w:r>
      <w:r w:rsidRPr="0099778D">
        <w:rPr>
          <w:rFonts w:ascii="Arial" w:hAnsi="Arial" w:cs="Arial"/>
          <w:sz w:val="20"/>
          <w:szCs w:val="20"/>
        </w:rPr>
        <w:t>écret Présidentiel n° 2016-107 du 27 août 2016, portant nomination du chef du gouvernement et de ses membres.</w:t>
      </w:r>
    </w:p>
    <w:p w14:paraId="529BF2CC" w14:textId="77777777" w:rsidR="0099778D" w:rsidRDefault="0099778D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E801B0" w14:textId="3BB18143" w:rsidR="0099778D" w:rsidRDefault="0099778D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</w:t>
      </w:r>
      <w:r w:rsidRPr="0099778D">
        <w:rPr>
          <w:rFonts w:ascii="Arial" w:hAnsi="Arial" w:cs="Arial"/>
          <w:sz w:val="20"/>
          <w:szCs w:val="20"/>
        </w:rPr>
        <w:t>écret gouvernemental n° 2018-462 du 7 juin 2018, chargeant le ministre de la Justice, des fonctions du ministre de l'Intérieur par intérim et de la gestion des affaires du ministère</w:t>
      </w:r>
    </w:p>
    <w:p w14:paraId="4DE8DC16" w14:textId="77777777" w:rsidR="0099778D" w:rsidRDefault="0099778D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BD4365" w14:textId="5AA02CF0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47F5">
        <w:rPr>
          <w:rFonts w:ascii="Arial" w:hAnsi="Arial" w:cs="Arial"/>
          <w:sz w:val="20"/>
          <w:szCs w:val="20"/>
        </w:rPr>
        <w:t>Arrête :</w:t>
      </w:r>
    </w:p>
    <w:p w14:paraId="0E4B4C96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CF4631" w14:textId="319DBCC2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E947F5">
        <w:rPr>
          <w:rFonts w:ascii="Arial" w:hAnsi="Arial" w:cs="Arial"/>
          <w:sz w:val="20"/>
          <w:szCs w:val="20"/>
        </w:rPr>
        <w:t xml:space="preserve"> Le ministre de l'intérieur </w:t>
      </w:r>
      <w:r w:rsidR="0099778D">
        <w:rPr>
          <w:rFonts w:ascii="Arial" w:hAnsi="Arial" w:cs="Arial"/>
          <w:sz w:val="20"/>
          <w:szCs w:val="20"/>
        </w:rPr>
        <w:t xml:space="preserve">par intérim </w:t>
      </w:r>
      <w:r w:rsidRPr="00E947F5">
        <w:rPr>
          <w:rFonts w:ascii="Arial" w:hAnsi="Arial" w:cs="Arial"/>
          <w:sz w:val="20"/>
          <w:szCs w:val="20"/>
        </w:rPr>
        <w:t>délègue son pouvoir disciplinaire, pour les sanctions du premier degré aux agents du corps de la sûreté nationale et de la police nationale des catégories « A1 » et « A2 » mentionnés au décret n° 2006-1160 du 13 avril 2006, portant statut particulier des agents du corps de la sûreté nationale et de la police nationale, selon les indications du tableau suivant :</w:t>
      </w:r>
    </w:p>
    <w:p w14:paraId="72C4B118" w14:textId="4CC3E120" w:rsidR="00E947F5" w:rsidRPr="00E947F5" w:rsidRDefault="00E947F5" w:rsidP="00E947F5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AEA1D" w14:textId="77777777" w:rsidR="00E947F5" w:rsidRPr="00E947F5" w:rsidRDefault="00E947F5" w:rsidP="00E947F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94AFCF" w14:textId="0C86D555" w:rsidR="00E947F5" w:rsidRPr="00E947F5" w:rsidRDefault="00E947F5" w:rsidP="00E947F5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07"/>
        <w:gridCol w:w="1895"/>
        <w:gridCol w:w="1832"/>
        <w:gridCol w:w="1857"/>
        <w:gridCol w:w="1851"/>
      </w:tblGrid>
      <w:tr w:rsidR="0099778D" w14:paraId="3C31B98A" w14:textId="77777777" w:rsidTr="0099778D">
        <w:trPr>
          <w:trHeight w:val="20"/>
        </w:trPr>
        <w:tc>
          <w:tcPr>
            <w:tcW w:w="9568" w:type="dxa"/>
            <w:gridSpan w:val="5"/>
            <w:vAlign w:val="center"/>
          </w:tcPr>
          <w:p w14:paraId="0E4D07D2" w14:textId="2BB2D4A7" w:rsidR="0099778D" w:rsidRPr="00E947F5" w:rsidRDefault="0099778D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Les sanctions pouvant être infligées aux agents de la tenue civile</w:t>
            </w:r>
          </w:p>
        </w:tc>
      </w:tr>
      <w:tr w:rsidR="00E947F5" w14:paraId="54F210D3" w14:textId="77777777" w:rsidTr="00E947F5">
        <w:trPr>
          <w:trHeight w:val="988"/>
        </w:trPr>
        <w:tc>
          <w:tcPr>
            <w:tcW w:w="1939" w:type="dxa"/>
            <w:tcBorders>
              <w:tl2br w:val="single" w:sz="4" w:space="0" w:color="auto"/>
            </w:tcBorders>
            <w:vAlign w:val="center"/>
          </w:tcPr>
          <w:p w14:paraId="3EDF4DC8" w14:textId="1BB43E9A" w:rsidR="00E947F5" w:rsidRPr="00E947F5" w:rsidRDefault="00E947F5" w:rsidP="00E947F5">
            <w:pPr>
              <w:spacing w:after="0" w:line="240" w:lineRule="auto"/>
              <w:ind w:lef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Les sanctions</w:t>
            </w:r>
          </w:p>
          <w:p w14:paraId="01A2C996" w14:textId="77777777" w:rsidR="00E947F5" w:rsidRP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632E8" w14:textId="5D1C2495" w:rsidR="00E947F5" w:rsidRPr="00E947F5" w:rsidRDefault="00E947F5" w:rsidP="00E947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La fonction</w:t>
            </w:r>
          </w:p>
        </w:tc>
        <w:tc>
          <w:tcPr>
            <w:tcW w:w="1907" w:type="dxa"/>
            <w:vAlign w:val="center"/>
          </w:tcPr>
          <w:p w14:paraId="331BCBF1" w14:textId="31247C5A" w:rsidR="00E947F5" w:rsidRP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L'avertissement</w:t>
            </w:r>
          </w:p>
        </w:tc>
        <w:tc>
          <w:tcPr>
            <w:tcW w:w="1907" w:type="dxa"/>
            <w:vAlign w:val="center"/>
          </w:tcPr>
          <w:p w14:paraId="4C6BB856" w14:textId="5FC36455" w:rsidR="00E947F5" w:rsidRP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Le blâme</w:t>
            </w:r>
          </w:p>
        </w:tc>
        <w:tc>
          <w:tcPr>
            <w:tcW w:w="1907" w:type="dxa"/>
            <w:vAlign w:val="center"/>
          </w:tcPr>
          <w:p w14:paraId="5B8BA8A3" w14:textId="65ECF056" w:rsidR="00E947F5" w:rsidRP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L'arrêt simple</w:t>
            </w:r>
          </w:p>
        </w:tc>
        <w:tc>
          <w:tcPr>
            <w:tcW w:w="1908" w:type="dxa"/>
            <w:vAlign w:val="center"/>
          </w:tcPr>
          <w:p w14:paraId="17D1568D" w14:textId="4F990201" w:rsidR="00E947F5" w:rsidRP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La mutation</w:t>
            </w:r>
            <w:r w:rsidR="00A52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d’office </w:t>
            </w:r>
          </w:p>
        </w:tc>
      </w:tr>
      <w:tr w:rsidR="00E947F5" w14:paraId="6AE6F1C1" w14:textId="77777777" w:rsidTr="00E947F5">
        <w:tc>
          <w:tcPr>
            <w:tcW w:w="1939" w:type="dxa"/>
            <w:vAlign w:val="center"/>
          </w:tcPr>
          <w:p w14:paraId="657C51EE" w14:textId="6FD7E856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6B4">
              <w:rPr>
                <w:rFonts w:ascii="Arial" w:hAnsi="Arial" w:cs="Arial"/>
                <w:sz w:val="20"/>
                <w:szCs w:val="20"/>
              </w:rPr>
              <w:t xml:space="preserve">Le directeur </w:t>
            </w:r>
            <w:r>
              <w:rPr>
                <w:rFonts w:ascii="Arial" w:hAnsi="Arial" w:cs="Arial"/>
                <w:sz w:val="20"/>
                <w:szCs w:val="20"/>
              </w:rPr>
              <w:t xml:space="preserve">général de la sûreté nationale </w:t>
            </w:r>
          </w:p>
        </w:tc>
        <w:tc>
          <w:tcPr>
            <w:tcW w:w="1907" w:type="dxa"/>
            <w:vAlign w:val="center"/>
          </w:tcPr>
          <w:p w14:paraId="6D600B26" w14:textId="53C166CE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18989C08" w14:textId="624A529E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31A68FB0" w14:textId="6CD24A0C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30 jours</w:t>
            </w:r>
          </w:p>
        </w:tc>
        <w:tc>
          <w:tcPr>
            <w:tcW w:w="1908" w:type="dxa"/>
            <w:vAlign w:val="center"/>
          </w:tcPr>
          <w:p w14:paraId="5DE30FED" w14:textId="64FE415D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947F5" w14:paraId="64DE071D" w14:textId="77777777" w:rsidTr="00E947F5">
        <w:tc>
          <w:tcPr>
            <w:tcW w:w="1939" w:type="dxa"/>
            <w:vAlign w:val="center"/>
          </w:tcPr>
          <w:p w14:paraId="38D56037" w14:textId="46094716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7F5">
              <w:rPr>
                <w:rFonts w:ascii="Arial" w:hAnsi="Arial" w:cs="Arial"/>
                <w:sz w:val="20"/>
                <w:szCs w:val="20"/>
              </w:rPr>
              <w:t>Les directeurs généraux à la sûreté nationale</w:t>
            </w:r>
          </w:p>
        </w:tc>
        <w:tc>
          <w:tcPr>
            <w:tcW w:w="1907" w:type="dxa"/>
            <w:vAlign w:val="center"/>
          </w:tcPr>
          <w:p w14:paraId="6CD8F56B" w14:textId="1F06C347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5A4C0919" w14:textId="58506385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3205EE68" w14:textId="5A6F9FB9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20 jours</w:t>
            </w:r>
          </w:p>
        </w:tc>
        <w:tc>
          <w:tcPr>
            <w:tcW w:w="1908" w:type="dxa"/>
            <w:vAlign w:val="center"/>
          </w:tcPr>
          <w:p w14:paraId="2897DBF5" w14:textId="3B19AFAE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947F5" w14:paraId="01DED151" w14:textId="77777777" w:rsidTr="00E947F5">
        <w:tc>
          <w:tcPr>
            <w:tcW w:w="1939" w:type="dxa"/>
            <w:vAlign w:val="center"/>
          </w:tcPr>
          <w:p w14:paraId="34C3DDD2" w14:textId="0EE829D8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directeurs </w:t>
            </w:r>
          </w:p>
        </w:tc>
        <w:tc>
          <w:tcPr>
            <w:tcW w:w="1907" w:type="dxa"/>
            <w:vAlign w:val="center"/>
          </w:tcPr>
          <w:p w14:paraId="5921858C" w14:textId="617E4C17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760D37E7" w14:textId="4539EB44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74269645" w14:textId="074F75AB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15 jours</w:t>
            </w:r>
          </w:p>
        </w:tc>
        <w:tc>
          <w:tcPr>
            <w:tcW w:w="1908" w:type="dxa"/>
            <w:vAlign w:val="center"/>
          </w:tcPr>
          <w:p w14:paraId="075FD0ED" w14:textId="77777777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F5" w14:paraId="2528B7EF" w14:textId="77777777" w:rsidTr="00E947F5">
        <w:tc>
          <w:tcPr>
            <w:tcW w:w="1939" w:type="dxa"/>
            <w:vAlign w:val="center"/>
          </w:tcPr>
          <w:p w14:paraId="5C10D343" w14:textId="1012DEC7" w:rsidR="00E947F5" w:rsidRDefault="00E947F5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sous directeurs, chefs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secteurs, commandants de groupement</w:t>
            </w:r>
            <w:r w:rsidR="00A5298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986">
              <w:rPr>
                <w:rFonts w:ascii="Arial" w:hAnsi="Arial" w:cs="Arial"/>
                <w:sz w:val="20"/>
                <w:szCs w:val="20"/>
              </w:rPr>
              <w:t>et chefs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services </w:t>
            </w:r>
          </w:p>
        </w:tc>
        <w:tc>
          <w:tcPr>
            <w:tcW w:w="1907" w:type="dxa"/>
            <w:vAlign w:val="center"/>
          </w:tcPr>
          <w:p w14:paraId="0C858C15" w14:textId="5A037288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907" w:type="dxa"/>
            <w:vAlign w:val="center"/>
          </w:tcPr>
          <w:p w14:paraId="7A5BCAD5" w14:textId="514DBBA6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</w:tcPr>
          <w:p w14:paraId="2E8138FA" w14:textId="77777777" w:rsidR="00E947F5" w:rsidRDefault="00E947F5" w:rsidP="00E94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14:paraId="2E73A25E" w14:textId="77777777" w:rsidR="00E947F5" w:rsidRDefault="00E947F5" w:rsidP="00E94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F5" w14:paraId="0D1AD69F" w14:textId="77777777" w:rsidTr="00E947F5">
        <w:tc>
          <w:tcPr>
            <w:tcW w:w="1939" w:type="dxa"/>
            <w:vAlign w:val="center"/>
          </w:tcPr>
          <w:p w14:paraId="2624FFC0" w14:textId="21E2D88F" w:rsidR="00E947F5" w:rsidRDefault="00E947F5" w:rsidP="00E94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chefs de brigades et chefs de postes </w:t>
            </w:r>
          </w:p>
        </w:tc>
        <w:tc>
          <w:tcPr>
            <w:tcW w:w="1907" w:type="dxa"/>
            <w:vAlign w:val="center"/>
          </w:tcPr>
          <w:p w14:paraId="74743DDE" w14:textId="50097BA5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  <w:vAlign w:val="center"/>
          </w:tcPr>
          <w:p w14:paraId="2A7654AD" w14:textId="2E24ACE4" w:rsidR="00E947F5" w:rsidRDefault="00E947F5" w:rsidP="00E94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7" w:type="dxa"/>
          </w:tcPr>
          <w:p w14:paraId="189B4166" w14:textId="77777777" w:rsidR="00E947F5" w:rsidRDefault="00E947F5" w:rsidP="00E94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14:paraId="1728A3A6" w14:textId="77777777" w:rsidR="00E947F5" w:rsidRDefault="00E947F5" w:rsidP="00E94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9751C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C42EE54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25926D" w14:textId="1BC055E8" w:rsidR="00E947F5" w:rsidRPr="00A52986" w:rsidRDefault="00E947F5" w:rsidP="00A52986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733"/>
        <w:gridCol w:w="1829"/>
        <w:gridCol w:w="1272"/>
        <w:gridCol w:w="1723"/>
        <w:gridCol w:w="1564"/>
        <w:gridCol w:w="1221"/>
      </w:tblGrid>
      <w:tr w:rsidR="0099778D" w14:paraId="69B81981" w14:textId="77777777" w:rsidTr="0099778D">
        <w:trPr>
          <w:trHeight w:val="20"/>
        </w:trPr>
        <w:tc>
          <w:tcPr>
            <w:tcW w:w="9568" w:type="dxa"/>
            <w:gridSpan w:val="6"/>
            <w:vAlign w:val="center"/>
          </w:tcPr>
          <w:p w14:paraId="2AAA7E32" w14:textId="3CAC675E" w:rsidR="0099778D" w:rsidRPr="00E947F5" w:rsidRDefault="0099778D" w:rsidP="00620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86">
              <w:rPr>
                <w:rFonts w:ascii="Arial" w:hAnsi="Arial" w:cs="Arial"/>
                <w:b/>
                <w:bCs/>
                <w:sz w:val="20"/>
                <w:szCs w:val="20"/>
              </w:rPr>
              <w:t>Les sanctions pouvant être infligés aux agents du corps de la tenue réglementaire</w:t>
            </w:r>
          </w:p>
        </w:tc>
      </w:tr>
      <w:tr w:rsidR="00A52986" w14:paraId="6A2E02DD" w14:textId="77777777" w:rsidTr="009175F3">
        <w:trPr>
          <w:trHeight w:val="988"/>
        </w:trPr>
        <w:tc>
          <w:tcPr>
            <w:tcW w:w="1762" w:type="dxa"/>
            <w:tcBorders>
              <w:tl2br w:val="single" w:sz="4" w:space="0" w:color="auto"/>
            </w:tcBorders>
            <w:vAlign w:val="center"/>
          </w:tcPr>
          <w:p w14:paraId="5AFF02D9" w14:textId="77777777" w:rsidR="00A52986" w:rsidRPr="00E947F5" w:rsidRDefault="00A52986" w:rsidP="006207DD">
            <w:pPr>
              <w:spacing w:after="0" w:line="240" w:lineRule="auto"/>
              <w:ind w:lef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Les sanctions</w:t>
            </w:r>
          </w:p>
          <w:p w14:paraId="041D196D" w14:textId="77777777" w:rsidR="00A52986" w:rsidRPr="00E947F5" w:rsidRDefault="00A52986" w:rsidP="00620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50EDC" w14:textId="77777777" w:rsidR="00A52986" w:rsidRPr="00E947F5" w:rsidRDefault="00A52986" w:rsidP="006207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La fonction</w:t>
            </w:r>
          </w:p>
        </w:tc>
        <w:tc>
          <w:tcPr>
            <w:tcW w:w="1840" w:type="dxa"/>
            <w:vAlign w:val="center"/>
          </w:tcPr>
          <w:p w14:paraId="1EF80AD4" w14:textId="77777777" w:rsidR="00A52986" w:rsidRPr="00E947F5" w:rsidRDefault="00A52986" w:rsidP="00620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L'avertissement</w:t>
            </w:r>
          </w:p>
        </w:tc>
        <w:tc>
          <w:tcPr>
            <w:tcW w:w="1325" w:type="dxa"/>
            <w:vAlign w:val="center"/>
          </w:tcPr>
          <w:p w14:paraId="2CC43910" w14:textId="77777777" w:rsidR="00A52986" w:rsidRPr="00E947F5" w:rsidRDefault="00A52986" w:rsidP="00620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Le blâme</w:t>
            </w:r>
          </w:p>
        </w:tc>
        <w:tc>
          <w:tcPr>
            <w:tcW w:w="1785" w:type="dxa"/>
            <w:vAlign w:val="center"/>
          </w:tcPr>
          <w:p w14:paraId="7ECDF0AD" w14:textId="07B819CD" w:rsidR="00A52986" w:rsidRPr="00E947F5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L'arrêt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simple  </w:t>
            </w:r>
          </w:p>
        </w:tc>
        <w:tc>
          <w:tcPr>
            <w:tcW w:w="1617" w:type="dxa"/>
            <w:vAlign w:val="center"/>
          </w:tcPr>
          <w:p w14:paraId="321582E0" w14:textId="07A20851" w:rsidR="00A52986" w:rsidRPr="00E947F5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L’arrêt de rigueur</w:t>
            </w:r>
          </w:p>
        </w:tc>
        <w:tc>
          <w:tcPr>
            <w:tcW w:w="1239" w:type="dxa"/>
            <w:vAlign w:val="center"/>
          </w:tcPr>
          <w:p w14:paraId="3D972332" w14:textId="75EA2189" w:rsidR="00A52986" w:rsidRPr="00E947F5" w:rsidRDefault="00A52986" w:rsidP="00620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F5">
              <w:rPr>
                <w:rFonts w:ascii="Arial" w:hAnsi="Arial" w:cs="Arial"/>
                <w:b/>
                <w:bCs/>
                <w:sz w:val="20"/>
                <w:szCs w:val="20"/>
              </w:rPr>
              <w:t>La mutation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d’office </w:t>
            </w:r>
          </w:p>
        </w:tc>
      </w:tr>
      <w:tr w:rsidR="00A52986" w14:paraId="6957B2C1" w14:textId="77777777" w:rsidTr="009175F3">
        <w:tc>
          <w:tcPr>
            <w:tcW w:w="1762" w:type="dxa"/>
            <w:vAlign w:val="center"/>
          </w:tcPr>
          <w:p w14:paraId="0230BFFD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6B4">
              <w:rPr>
                <w:rFonts w:ascii="Arial" w:hAnsi="Arial" w:cs="Arial"/>
                <w:sz w:val="20"/>
                <w:szCs w:val="20"/>
              </w:rPr>
              <w:t xml:space="preserve">Le directeur </w:t>
            </w:r>
            <w:r>
              <w:rPr>
                <w:rFonts w:ascii="Arial" w:hAnsi="Arial" w:cs="Arial"/>
                <w:sz w:val="20"/>
                <w:szCs w:val="20"/>
              </w:rPr>
              <w:t xml:space="preserve">général de la sûreté nationale </w:t>
            </w:r>
          </w:p>
        </w:tc>
        <w:tc>
          <w:tcPr>
            <w:tcW w:w="1840" w:type="dxa"/>
            <w:vAlign w:val="center"/>
          </w:tcPr>
          <w:p w14:paraId="23420F60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6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5" w:type="dxa"/>
            <w:vAlign w:val="center"/>
          </w:tcPr>
          <w:p w14:paraId="38548DC6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vAlign w:val="center"/>
          </w:tcPr>
          <w:p w14:paraId="1ECFC2BE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30 jours</w:t>
            </w:r>
          </w:p>
        </w:tc>
        <w:tc>
          <w:tcPr>
            <w:tcW w:w="1617" w:type="dxa"/>
            <w:vAlign w:val="center"/>
          </w:tcPr>
          <w:p w14:paraId="0EFC1450" w14:textId="2A5B1D79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une durée maximum de 30 jours </w:t>
            </w:r>
          </w:p>
        </w:tc>
        <w:tc>
          <w:tcPr>
            <w:tcW w:w="1239" w:type="dxa"/>
            <w:vAlign w:val="center"/>
          </w:tcPr>
          <w:p w14:paraId="236EB663" w14:textId="7E4A99D2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52986" w14:paraId="3EA6F37F" w14:textId="77777777" w:rsidTr="009175F3">
        <w:tc>
          <w:tcPr>
            <w:tcW w:w="1762" w:type="dxa"/>
            <w:vAlign w:val="center"/>
          </w:tcPr>
          <w:p w14:paraId="64717831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7F5">
              <w:rPr>
                <w:rFonts w:ascii="Arial" w:hAnsi="Arial" w:cs="Arial"/>
                <w:sz w:val="20"/>
                <w:szCs w:val="20"/>
              </w:rPr>
              <w:t>Les directeurs généraux à la sûreté nationale</w:t>
            </w:r>
          </w:p>
        </w:tc>
        <w:tc>
          <w:tcPr>
            <w:tcW w:w="1840" w:type="dxa"/>
            <w:vAlign w:val="center"/>
          </w:tcPr>
          <w:p w14:paraId="701CE716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5" w:type="dxa"/>
            <w:vAlign w:val="center"/>
          </w:tcPr>
          <w:p w14:paraId="1FDA176D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vAlign w:val="center"/>
          </w:tcPr>
          <w:p w14:paraId="0CC181C0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20 jours</w:t>
            </w:r>
          </w:p>
        </w:tc>
        <w:tc>
          <w:tcPr>
            <w:tcW w:w="1617" w:type="dxa"/>
            <w:vAlign w:val="center"/>
          </w:tcPr>
          <w:p w14:paraId="69C08E98" w14:textId="36DD966D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une durée maximum de 20 jours </w:t>
            </w:r>
          </w:p>
        </w:tc>
        <w:tc>
          <w:tcPr>
            <w:tcW w:w="1239" w:type="dxa"/>
            <w:vAlign w:val="center"/>
          </w:tcPr>
          <w:p w14:paraId="769B4B5C" w14:textId="77A400D3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52986" w14:paraId="1E18C0FC" w14:textId="77777777" w:rsidTr="009175F3">
        <w:tc>
          <w:tcPr>
            <w:tcW w:w="1762" w:type="dxa"/>
            <w:vAlign w:val="center"/>
          </w:tcPr>
          <w:p w14:paraId="25D81858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directeurs </w:t>
            </w:r>
          </w:p>
        </w:tc>
        <w:tc>
          <w:tcPr>
            <w:tcW w:w="1840" w:type="dxa"/>
            <w:vAlign w:val="center"/>
          </w:tcPr>
          <w:p w14:paraId="6E2AAD33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5" w:type="dxa"/>
            <w:vAlign w:val="center"/>
          </w:tcPr>
          <w:p w14:paraId="7643776F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vAlign w:val="center"/>
          </w:tcPr>
          <w:p w14:paraId="1549CB8C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8CF">
              <w:t>pour une durée maximum de 15 jours</w:t>
            </w:r>
          </w:p>
        </w:tc>
        <w:tc>
          <w:tcPr>
            <w:tcW w:w="1617" w:type="dxa"/>
            <w:vAlign w:val="center"/>
          </w:tcPr>
          <w:p w14:paraId="6613F34A" w14:textId="39CC4498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une durée maximum de 15 jours </w:t>
            </w:r>
          </w:p>
        </w:tc>
        <w:tc>
          <w:tcPr>
            <w:tcW w:w="1239" w:type="dxa"/>
            <w:vAlign w:val="center"/>
          </w:tcPr>
          <w:p w14:paraId="4B1274D4" w14:textId="1B2B4572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86" w14:paraId="75503BC5" w14:textId="77777777" w:rsidTr="009175F3">
        <w:tc>
          <w:tcPr>
            <w:tcW w:w="1762" w:type="dxa"/>
            <w:vAlign w:val="center"/>
          </w:tcPr>
          <w:p w14:paraId="36B04077" w14:textId="75E6A82F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sous directeurs, chefs de secteurs, commandants de groupements et chefs de services </w:t>
            </w:r>
          </w:p>
        </w:tc>
        <w:tc>
          <w:tcPr>
            <w:tcW w:w="1840" w:type="dxa"/>
            <w:vAlign w:val="center"/>
          </w:tcPr>
          <w:p w14:paraId="22A5E28F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5" w:type="dxa"/>
            <w:vAlign w:val="center"/>
          </w:tcPr>
          <w:p w14:paraId="50F14CCF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vAlign w:val="center"/>
          </w:tcPr>
          <w:p w14:paraId="541C7844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FA22DD3" w14:textId="7B30CC49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4F5">
              <w:rPr>
                <w:rFonts w:ascii="Arial" w:hAnsi="Arial" w:cs="Arial"/>
                <w:sz w:val="20"/>
                <w:szCs w:val="20"/>
              </w:rPr>
              <w:t>Pour une durée maximum de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74F5">
              <w:rPr>
                <w:rFonts w:ascii="Arial" w:hAnsi="Arial" w:cs="Arial"/>
                <w:sz w:val="20"/>
                <w:szCs w:val="20"/>
              </w:rPr>
              <w:t xml:space="preserve"> jours </w:t>
            </w:r>
          </w:p>
        </w:tc>
        <w:tc>
          <w:tcPr>
            <w:tcW w:w="1239" w:type="dxa"/>
            <w:vAlign w:val="center"/>
          </w:tcPr>
          <w:p w14:paraId="633EA516" w14:textId="266945A9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86" w14:paraId="310AFB5D" w14:textId="77777777" w:rsidTr="009175F3">
        <w:tc>
          <w:tcPr>
            <w:tcW w:w="1762" w:type="dxa"/>
            <w:vAlign w:val="center"/>
          </w:tcPr>
          <w:p w14:paraId="4FF10E1A" w14:textId="56369DC8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commandants des unités d’intervention </w:t>
            </w:r>
          </w:p>
        </w:tc>
        <w:tc>
          <w:tcPr>
            <w:tcW w:w="1840" w:type="dxa"/>
            <w:vAlign w:val="center"/>
          </w:tcPr>
          <w:p w14:paraId="6DB6D7C1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1A7FFEED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3B638EA8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8B11FEE" w14:textId="71CC04F4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4F5">
              <w:rPr>
                <w:rFonts w:ascii="Arial" w:hAnsi="Arial" w:cs="Arial"/>
                <w:sz w:val="20"/>
                <w:szCs w:val="20"/>
              </w:rPr>
              <w:t xml:space="preserve">Pour une durée maximum de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74F5">
              <w:rPr>
                <w:rFonts w:ascii="Arial" w:hAnsi="Arial" w:cs="Arial"/>
                <w:sz w:val="20"/>
                <w:szCs w:val="20"/>
              </w:rPr>
              <w:t xml:space="preserve"> jours </w:t>
            </w:r>
          </w:p>
        </w:tc>
        <w:tc>
          <w:tcPr>
            <w:tcW w:w="1239" w:type="dxa"/>
            <w:vAlign w:val="center"/>
          </w:tcPr>
          <w:p w14:paraId="7564A496" w14:textId="7BC4D1CA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86" w14:paraId="59723690" w14:textId="77777777" w:rsidTr="009175F3">
        <w:tc>
          <w:tcPr>
            <w:tcW w:w="1762" w:type="dxa"/>
            <w:vAlign w:val="center"/>
          </w:tcPr>
          <w:p w14:paraId="2211DB4C" w14:textId="27BFC79B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chefs de brigades commandants de compagnies et chefs de postes  </w:t>
            </w:r>
          </w:p>
        </w:tc>
        <w:tc>
          <w:tcPr>
            <w:tcW w:w="1840" w:type="dxa"/>
            <w:vAlign w:val="center"/>
          </w:tcPr>
          <w:p w14:paraId="2216A749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5" w:type="dxa"/>
            <w:vAlign w:val="center"/>
          </w:tcPr>
          <w:p w14:paraId="5A1C6998" w14:textId="77777777" w:rsidR="00A52986" w:rsidRDefault="00A52986" w:rsidP="00A5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vAlign w:val="center"/>
          </w:tcPr>
          <w:p w14:paraId="0F0BD067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4C0C39E" w14:textId="77777777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346AD46" w14:textId="4E22B684" w:rsidR="00A52986" w:rsidRDefault="00A52986" w:rsidP="00A5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6F65F1" w14:textId="77777777" w:rsid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B709B2" w14:textId="77777777" w:rsidR="00E947F5" w:rsidRPr="00E947F5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FBA882" w14:textId="3AF06681" w:rsidR="00E947F5" w:rsidRPr="00E947F5" w:rsidRDefault="00A52986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2986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="00E947F5" w:rsidRPr="00E947F5">
        <w:rPr>
          <w:rFonts w:ascii="Arial" w:hAnsi="Arial" w:cs="Arial"/>
          <w:sz w:val="20"/>
          <w:szCs w:val="20"/>
        </w:rPr>
        <w:t>Le présent arrêté sera publié au Journal Officiel de la République Tunisienne.</w:t>
      </w:r>
    </w:p>
    <w:p w14:paraId="339926C0" w14:textId="77777777" w:rsidR="00A52986" w:rsidRDefault="00A52986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A7C81EE" w14:textId="621B4AA5" w:rsidR="00E947F5" w:rsidRPr="00A52986" w:rsidRDefault="00E947F5" w:rsidP="00E947F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52986">
        <w:rPr>
          <w:rFonts w:ascii="Arial" w:hAnsi="Arial" w:cs="Arial"/>
          <w:b/>
          <w:bCs/>
          <w:sz w:val="20"/>
          <w:szCs w:val="20"/>
        </w:rPr>
        <w:t xml:space="preserve">Tunis, le </w:t>
      </w:r>
      <w:r w:rsidR="0099778D">
        <w:rPr>
          <w:rFonts w:ascii="Arial" w:hAnsi="Arial" w:cs="Arial"/>
          <w:b/>
          <w:bCs/>
          <w:sz w:val="20"/>
          <w:szCs w:val="20"/>
        </w:rPr>
        <w:t>27</w:t>
      </w:r>
      <w:r w:rsidRPr="00A52986">
        <w:rPr>
          <w:rFonts w:ascii="Arial" w:hAnsi="Arial" w:cs="Arial"/>
          <w:b/>
          <w:bCs/>
          <w:sz w:val="20"/>
          <w:szCs w:val="20"/>
        </w:rPr>
        <w:t xml:space="preserve"> juin </w:t>
      </w:r>
      <w:r w:rsidR="0099778D">
        <w:rPr>
          <w:rFonts w:ascii="Arial" w:hAnsi="Arial" w:cs="Arial"/>
          <w:b/>
          <w:bCs/>
          <w:sz w:val="20"/>
          <w:szCs w:val="20"/>
        </w:rPr>
        <w:t>2018</w:t>
      </w:r>
      <w:r w:rsidRPr="00A5298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8A977C2" w14:textId="15705CF5" w:rsidR="00EB590F" w:rsidRPr="00D274F6" w:rsidRDefault="00EB590F" w:rsidP="00E947F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EB590F" w:rsidRPr="00D274F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9D0B" w14:textId="77777777" w:rsidR="004A7130" w:rsidRDefault="004A7130" w:rsidP="008F3F2D">
      <w:r>
        <w:separator/>
      </w:r>
    </w:p>
  </w:endnote>
  <w:endnote w:type="continuationSeparator" w:id="0">
    <w:p w14:paraId="354FA28C" w14:textId="77777777" w:rsidR="004A7130" w:rsidRDefault="004A7130" w:rsidP="008F3F2D">
      <w:r>
        <w:continuationSeparator/>
      </w:r>
    </w:p>
  </w:endnote>
  <w:endnote w:id="1">
    <w:p w14:paraId="658CFF2C" w14:textId="6B3244E5" w:rsidR="00FB7E39" w:rsidRPr="00FB7E39" w:rsidRDefault="00FB7E39" w:rsidP="00FB7E39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FB7E39">
        <w:rPr>
          <w:sz w:val="20"/>
          <w:szCs w:val="20"/>
        </w:rPr>
        <w:t xml:space="preserve">Pour toute référence officielle, consultez la version </w:t>
      </w:r>
      <w:hyperlink r:id="rId1" w:history="1">
        <w:r w:rsidRPr="00463A19">
          <w:rPr>
            <w:rStyle w:val="Hyperlink"/>
            <w:sz w:val="20"/>
            <w:szCs w:val="20"/>
          </w:rPr>
          <w:t>arabe</w:t>
        </w:r>
      </w:hyperlink>
      <w:bookmarkStart w:id="0" w:name="_GoBack"/>
      <w:bookmarkEnd w:id="0"/>
      <w:r w:rsidRPr="00FB7E39">
        <w:rPr>
          <w:sz w:val="20"/>
          <w:szCs w:val="20"/>
        </w:rPr>
        <w:t xml:space="preserve"> qui fait foi.</w:t>
      </w:r>
    </w:p>
    <w:p w14:paraId="495C0958" w14:textId="15F5D4D2" w:rsidR="00FB7E39" w:rsidRDefault="00FB7E3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0C3F27" w:rsidRPr="00C64B86" w:rsidRDefault="000C3F27">
    <w:pPr>
      <w:pStyle w:val="Footer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35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35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9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35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35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0C3F27" w:rsidRDefault="000C3F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35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35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0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35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35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95CB" w14:textId="77777777" w:rsidR="004A7130" w:rsidRDefault="004A7130" w:rsidP="008F3F2D">
      <w:r>
        <w:separator/>
      </w:r>
    </w:p>
  </w:footnote>
  <w:footnote w:type="continuationSeparator" w:id="0">
    <w:p w14:paraId="1A168CDD" w14:textId="77777777" w:rsidR="004A7130" w:rsidRDefault="004A713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4725312D" w:rsidR="000C3F27" w:rsidRDefault="000C3F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18178F50" w:rsidR="000C3F27" w:rsidRDefault="000C3F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8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16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414A7"/>
    <w:rsid w:val="00062ECD"/>
    <w:rsid w:val="000B0D20"/>
    <w:rsid w:val="000C24FA"/>
    <w:rsid w:val="000C3F27"/>
    <w:rsid w:val="000C7FAD"/>
    <w:rsid w:val="000D0DE1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B19EE"/>
    <w:rsid w:val="00354137"/>
    <w:rsid w:val="00356C00"/>
    <w:rsid w:val="00383314"/>
    <w:rsid w:val="00385334"/>
    <w:rsid w:val="003B21A4"/>
    <w:rsid w:val="003B6CD4"/>
    <w:rsid w:val="003F4AF0"/>
    <w:rsid w:val="00463A19"/>
    <w:rsid w:val="004808F1"/>
    <w:rsid w:val="004977E0"/>
    <w:rsid w:val="004A7130"/>
    <w:rsid w:val="004E246D"/>
    <w:rsid w:val="00503E5A"/>
    <w:rsid w:val="00584322"/>
    <w:rsid w:val="00595DBD"/>
    <w:rsid w:val="005E7CA9"/>
    <w:rsid w:val="005F7BF4"/>
    <w:rsid w:val="0060594F"/>
    <w:rsid w:val="006353B0"/>
    <w:rsid w:val="00684129"/>
    <w:rsid w:val="006A309C"/>
    <w:rsid w:val="006A4646"/>
    <w:rsid w:val="007244D3"/>
    <w:rsid w:val="0075404E"/>
    <w:rsid w:val="007E7F34"/>
    <w:rsid w:val="00846ED4"/>
    <w:rsid w:val="00847F00"/>
    <w:rsid w:val="0089552E"/>
    <w:rsid w:val="008C75C9"/>
    <w:rsid w:val="008F3F2D"/>
    <w:rsid w:val="00911CFA"/>
    <w:rsid w:val="009157FD"/>
    <w:rsid w:val="009175F3"/>
    <w:rsid w:val="00957F0E"/>
    <w:rsid w:val="0097472C"/>
    <w:rsid w:val="00993EF9"/>
    <w:rsid w:val="0099778D"/>
    <w:rsid w:val="009E055F"/>
    <w:rsid w:val="00A00644"/>
    <w:rsid w:val="00A0369D"/>
    <w:rsid w:val="00A04F09"/>
    <w:rsid w:val="00A23AAD"/>
    <w:rsid w:val="00A24F23"/>
    <w:rsid w:val="00A52986"/>
    <w:rsid w:val="00A77B68"/>
    <w:rsid w:val="00A84B7B"/>
    <w:rsid w:val="00A85FD5"/>
    <w:rsid w:val="00A90F21"/>
    <w:rsid w:val="00A9459F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CD7CE0"/>
    <w:rsid w:val="00D07749"/>
    <w:rsid w:val="00D1177F"/>
    <w:rsid w:val="00D274F6"/>
    <w:rsid w:val="00D36176"/>
    <w:rsid w:val="00D835CC"/>
    <w:rsid w:val="00DC4590"/>
    <w:rsid w:val="00E10A35"/>
    <w:rsid w:val="00E57DAB"/>
    <w:rsid w:val="00E947F5"/>
    <w:rsid w:val="00E953A2"/>
    <w:rsid w:val="00EB590F"/>
    <w:rsid w:val="00EF16C9"/>
    <w:rsid w:val="00F57B75"/>
    <w:rsid w:val="00FB1EE6"/>
    <w:rsid w:val="00FB7E39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A6AA97F-4125-4DAD-B340-D4A9FD91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A3D64"/>
    <w:rPr>
      <w:vertAlign w:val="superscript"/>
    </w:rPr>
  </w:style>
  <w:style w:type="table" w:styleId="TableGrid">
    <w:name w:val="Table Grid"/>
    <w:basedOn w:val="Table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464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39"/>
    <w:rPr>
      <w:sz w:val="20"/>
      <w:szCs w:val="20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E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E39"/>
    <w:rPr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FB7E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3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tion-securite.tn/ar/node/1043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{44693238-3842-4FB2-8716-2A441C502B75}</b:Guid>
    <b:RefOrder>2</b:RefOrder>
  </b:Source>
  <b:Source xmlns:b="http://schemas.openxmlformats.org/officeDocument/2006/bibliography" xmlns="http://schemas.openxmlformats.org/officeDocument/2006/bibliography">
    <b:Tag>Placeholder2</b:Tag>
    <b:RefOrder>1</b:RefOrder>
  </b:Source>
</b:Sources>
</file>

<file path=customXml/itemProps1.xml><?xml version="1.0" encoding="utf-8"?>
<ds:datastoreItem xmlns:ds="http://schemas.openxmlformats.org/officeDocument/2006/customXml" ds:itemID="{A1C6BA1B-161F-4AD1-986B-B3009CF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Alya Melkia</cp:lastModifiedBy>
  <cp:revision>5</cp:revision>
  <cp:lastPrinted>2018-07-05T11:07:00Z</cp:lastPrinted>
  <dcterms:created xsi:type="dcterms:W3CDTF">2018-07-05T10:43:00Z</dcterms:created>
  <dcterms:modified xsi:type="dcterms:W3CDTF">2018-07-05T11:29:00Z</dcterms:modified>
</cp:coreProperties>
</file>