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19068" w14:textId="4E8A984F" w:rsidR="00225DEA" w:rsidRPr="00225DEA" w:rsidRDefault="00225DEA" w:rsidP="00333B7F">
      <w:pPr>
        <w:spacing w:after="0" w:line="240" w:lineRule="auto"/>
        <w:ind w:left="284"/>
        <w:jc w:val="both"/>
        <w:rPr>
          <w:rFonts w:ascii="Arial" w:hAnsi="Arial" w:cs="Arial"/>
          <w:b/>
          <w:bCs/>
          <w:sz w:val="24"/>
          <w:szCs w:val="24"/>
        </w:rPr>
      </w:pPr>
      <w:r w:rsidRPr="00225DEA">
        <w:rPr>
          <w:rFonts w:ascii="Arial" w:hAnsi="Arial" w:cs="Arial"/>
          <w:b/>
          <w:bCs/>
          <w:sz w:val="24"/>
          <w:szCs w:val="24"/>
        </w:rPr>
        <w:t>Arrêté du ministre de l'intérieur et du ministre des finances du 29 décembre 2015, fixant les critères d'évaluation des performances des collectivités locales mentionnés à l'article 11 du décret n° 2014-3505 du 30 septembre 2014</w:t>
      </w:r>
    </w:p>
    <w:p w14:paraId="3601F07B" w14:textId="77777777" w:rsidR="00225DEA" w:rsidRDefault="00225DEA" w:rsidP="00333B7F">
      <w:pPr>
        <w:spacing w:after="0" w:line="240" w:lineRule="auto"/>
        <w:ind w:left="284"/>
        <w:jc w:val="both"/>
        <w:rPr>
          <w:rFonts w:ascii="Arial" w:hAnsi="Arial" w:cs="Arial"/>
          <w:sz w:val="20"/>
          <w:szCs w:val="20"/>
        </w:rPr>
      </w:pPr>
    </w:p>
    <w:p w14:paraId="2B2E4C07" w14:textId="77777777" w:rsidR="00333B7F" w:rsidRPr="00225DEA" w:rsidRDefault="00333B7F" w:rsidP="00333B7F">
      <w:pPr>
        <w:spacing w:after="0" w:line="240" w:lineRule="auto"/>
        <w:ind w:left="284"/>
        <w:jc w:val="both"/>
        <w:rPr>
          <w:rFonts w:ascii="Arial" w:hAnsi="Arial" w:cs="Arial"/>
          <w:sz w:val="20"/>
          <w:szCs w:val="20"/>
        </w:rPr>
      </w:pPr>
    </w:p>
    <w:p w14:paraId="594DE5FB" w14:textId="77777777" w:rsid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t xml:space="preserve">Le ministre de l'intérieur et le ministre des finances, </w:t>
      </w:r>
    </w:p>
    <w:p w14:paraId="03737A1A" w14:textId="77777777" w:rsidR="00225DEA" w:rsidRPr="00225DEA" w:rsidRDefault="00225DEA" w:rsidP="00333B7F">
      <w:pPr>
        <w:spacing w:after="0" w:line="240" w:lineRule="auto"/>
        <w:ind w:left="284"/>
        <w:jc w:val="both"/>
        <w:rPr>
          <w:rFonts w:ascii="Arial" w:hAnsi="Arial" w:cs="Arial"/>
          <w:sz w:val="20"/>
          <w:szCs w:val="20"/>
        </w:rPr>
      </w:pPr>
    </w:p>
    <w:p w14:paraId="1C7CC639" w14:textId="77777777" w:rsid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t xml:space="preserve">Vu la constitution, </w:t>
      </w:r>
    </w:p>
    <w:p w14:paraId="001FDBA4" w14:textId="77777777" w:rsidR="00225DEA" w:rsidRPr="00225DEA" w:rsidRDefault="00225DEA" w:rsidP="00333B7F">
      <w:pPr>
        <w:spacing w:after="0" w:line="240" w:lineRule="auto"/>
        <w:ind w:left="284"/>
        <w:jc w:val="both"/>
        <w:rPr>
          <w:rFonts w:ascii="Arial" w:hAnsi="Arial" w:cs="Arial"/>
          <w:sz w:val="20"/>
          <w:szCs w:val="20"/>
        </w:rPr>
      </w:pPr>
    </w:p>
    <w:p w14:paraId="79CD2BBB" w14:textId="77777777"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t xml:space="preserve">Vu la loi organique des communes promulguée par la loi n° 75-33 du 14 mai 1975, ensemble les textes qui l’ont modifiée et complétée et notamment la loi organique n° 2008-57 du 4 août 2008, </w:t>
      </w:r>
    </w:p>
    <w:p w14:paraId="6139CBC9" w14:textId="77777777" w:rsidR="00225DEA" w:rsidRDefault="00225DEA" w:rsidP="00333B7F">
      <w:pPr>
        <w:spacing w:after="0" w:line="240" w:lineRule="auto"/>
        <w:ind w:left="284"/>
        <w:jc w:val="both"/>
        <w:rPr>
          <w:rFonts w:ascii="Arial" w:hAnsi="Arial" w:cs="Arial"/>
          <w:sz w:val="20"/>
          <w:szCs w:val="20"/>
        </w:rPr>
      </w:pPr>
    </w:p>
    <w:p w14:paraId="4F139985" w14:textId="77777777"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t xml:space="preserve">Vu la loi n° 75-35 du 14 mai 1975, relative à la loi organique du budget des collectivités locales, telle que modifiée et complétée par les textes subséquents et notamment la loi organique n° 2007-65 du 18 décembre 2007, </w:t>
      </w:r>
    </w:p>
    <w:p w14:paraId="014BDA7B" w14:textId="77777777" w:rsidR="00225DEA" w:rsidRDefault="00225DEA" w:rsidP="00333B7F">
      <w:pPr>
        <w:spacing w:after="0" w:line="240" w:lineRule="auto"/>
        <w:ind w:left="284"/>
        <w:jc w:val="both"/>
        <w:rPr>
          <w:rFonts w:ascii="Arial" w:hAnsi="Arial" w:cs="Arial"/>
          <w:sz w:val="20"/>
          <w:szCs w:val="20"/>
        </w:rPr>
      </w:pPr>
    </w:p>
    <w:p w14:paraId="3DF5756F" w14:textId="77777777"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t xml:space="preserve">Vu la loi organique n° 89-11 du 4 février 1989, relative aux conseils régionaux, telle que complétée par la loi organique n° 93-119 du 27 décembre 1993, </w:t>
      </w:r>
    </w:p>
    <w:p w14:paraId="5609573B" w14:textId="77777777" w:rsidR="00225DEA" w:rsidRDefault="00225DEA" w:rsidP="00333B7F">
      <w:pPr>
        <w:spacing w:after="0" w:line="240" w:lineRule="auto"/>
        <w:ind w:left="284"/>
        <w:jc w:val="both"/>
        <w:rPr>
          <w:rFonts w:ascii="Arial" w:hAnsi="Arial" w:cs="Arial"/>
          <w:sz w:val="20"/>
          <w:szCs w:val="20"/>
        </w:rPr>
      </w:pPr>
    </w:p>
    <w:p w14:paraId="0CA6EF4E" w14:textId="77777777"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t xml:space="preserve">Vu le code de la comptabilité publique promulgué par la loi n° 73-81 du 31 décembre 1973 et notamment son article 66, tel que modifié par les textes subséquents et notamment la loi n° 2013-54 du 30 décembre 2013, relative à la loi de finances pour l'année 2014, </w:t>
      </w:r>
    </w:p>
    <w:p w14:paraId="3F645544" w14:textId="77777777" w:rsidR="00225DEA" w:rsidRDefault="00225DEA" w:rsidP="00333B7F">
      <w:pPr>
        <w:spacing w:after="0" w:line="240" w:lineRule="auto"/>
        <w:ind w:left="284"/>
        <w:jc w:val="both"/>
        <w:rPr>
          <w:rFonts w:ascii="Arial" w:hAnsi="Arial" w:cs="Arial"/>
          <w:sz w:val="20"/>
          <w:szCs w:val="20"/>
        </w:rPr>
      </w:pPr>
    </w:p>
    <w:p w14:paraId="7B373DDA" w14:textId="77777777"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t xml:space="preserve">Vu la loi n° 75-36 du 14 mai 1975, relative au fonds commun des collectivités locales, ensemble les textes qui l’ont modifié et complété et notamment la loi n° 2013-54 du 30 décembre 2013, relative à la loi de finances pour l'année 2014, </w:t>
      </w:r>
    </w:p>
    <w:p w14:paraId="0727E70D" w14:textId="77777777" w:rsidR="00225DEA" w:rsidRDefault="00225DEA" w:rsidP="00333B7F">
      <w:pPr>
        <w:spacing w:after="0" w:line="240" w:lineRule="auto"/>
        <w:ind w:left="284"/>
        <w:jc w:val="both"/>
        <w:rPr>
          <w:rFonts w:ascii="Arial" w:hAnsi="Arial" w:cs="Arial"/>
          <w:sz w:val="20"/>
          <w:szCs w:val="20"/>
        </w:rPr>
      </w:pPr>
    </w:p>
    <w:p w14:paraId="114CCF15" w14:textId="77777777"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t xml:space="preserve">Vu la loi n° 75-37 du 14 mai 1975, relative à la transformation de la caisse des prêts des communes en une caisse des prêts et de soutien des collectivités locales, </w:t>
      </w:r>
    </w:p>
    <w:p w14:paraId="20D78CEE" w14:textId="77777777" w:rsidR="00225DEA" w:rsidRDefault="00225DEA" w:rsidP="00333B7F">
      <w:pPr>
        <w:spacing w:after="0" w:line="240" w:lineRule="auto"/>
        <w:ind w:left="284"/>
        <w:jc w:val="both"/>
        <w:rPr>
          <w:rFonts w:ascii="Arial" w:hAnsi="Arial" w:cs="Arial"/>
          <w:sz w:val="20"/>
          <w:szCs w:val="20"/>
        </w:rPr>
      </w:pPr>
    </w:p>
    <w:p w14:paraId="4AB107E9" w14:textId="77777777"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t xml:space="preserve">Vu le décret n° 89-222 du 27 janvier 1989, relatif à l'organisation administrative et fixant le régime financier des régies communales, </w:t>
      </w:r>
    </w:p>
    <w:p w14:paraId="08464A93" w14:textId="77777777" w:rsidR="00225DEA" w:rsidRDefault="00225DEA" w:rsidP="00333B7F">
      <w:pPr>
        <w:spacing w:after="0" w:line="240" w:lineRule="auto"/>
        <w:ind w:left="284"/>
        <w:jc w:val="both"/>
        <w:rPr>
          <w:rFonts w:ascii="Arial" w:hAnsi="Arial" w:cs="Arial"/>
          <w:sz w:val="20"/>
          <w:szCs w:val="20"/>
        </w:rPr>
      </w:pPr>
    </w:p>
    <w:p w14:paraId="048940BA" w14:textId="77777777"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t xml:space="preserve">Vu le décret n° 89-242 du 31 janvier 1989, relatif à l'organisation administrative et financière des établissements publics locaux à caractère économique, </w:t>
      </w:r>
    </w:p>
    <w:p w14:paraId="0BA7A127" w14:textId="77777777" w:rsidR="00225DEA" w:rsidRDefault="00225DEA" w:rsidP="00333B7F">
      <w:pPr>
        <w:spacing w:after="0" w:line="240" w:lineRule="auto"/>
        <w:ind w:left="284"/>
        <w:jc w:val="both"/>
        <w:rPr>
          <w:rFonts w:ascii="Arial" w:hAnsi="Arial" w:cs="Arial"/>
          <w:sz w:val="20"/>
          <w:szCs w:val="20"/>
        </w:rPr>
      </w:pPr>
    </w:p>
    <w:p w14:paraId="2084D333" w14:textId="77777777"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t xml:space="preserve">Vu le décret n° 92-688 du 16 avril 1992, relatif à l’organisation administrative et financière de la caisse des prêts et de soutien des collectivités locales et les modalités de son fonctionnement, </w:t>
      </w:r>
    </w:p>
    <w:p w14:paraId="38DE0E0A" w14:textId="77777777" w:rsidR="00225DEA" w:rsidRDefault="00225DEA" w:rsidP="00333B7F">
      <w:pPr>
        <w:spacing w:after="0" w:line="240" w:lineRule="auto"/>
        <w:ind w:left="284"/>
        <w:jc w:val="both"/>
        <w:rPr>
          <w:rFonts w:ascii="Arial" w:hAnsi="Arial" w:cs="Arial"/>
          <w:sz w:val="20"/>
          <w:szCs w:val="20"/>
        </w:rPr>
      </w:pPr>
    </w:p>
    <w:p w14:paraId="22A704C6" w14:textId="77777777"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t xml:space="preserve">Vu le décret n° 2013-3232 du 12 août 2013, portant organisation du contrôle général des services publics et fixant ses attributions ainsi que le statut particulier de ses membres, </w:t>
      </w:r>
    </w:p>
    <w:p w14:paraId="39CD6A4D" w14:textId="77777777" w:rsidR="00225DEA" w:rsidRDefault="00225DEA" w:rsidP="00333B7F">
      <w:pPr>
        <w:spacing w:after="0" w:line="240" w:lineRule="auto"/>
        <w:ind w:left="284"/>
        <w:jc w:val="both"/>
        <w:rPr>
          <w:rFonts w:ascii="Arial" w:hAnsi="Arial" w:cs="Arial"/>
          <w:sz w:val="20"/>
          <w:szCs w:val="20"/>
        </w:rPr>
      </w:pPr>
    </w:p>
    <w:p w14:paraId="7C6EF113" w14:textId="77777777"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t xml:space="preserve">Vu le décret n° 2014-1039 du 13 mars 2014, portant réglementation des marchés publics, </w:t>
      </w:r>
    </w:p>
    <w:p w14:paraId="1873EF8E" w14:textId="77777777" w:rsidR="00225DEA" w:rsidRDefault="00225DEA" w:rsidP="00333B7F">
      <w:pPr>
        <w:spacing w:after="0" w:line="240" w:lineRule="auto"/>
        <w:ind w:left="284"/>
        <w:jc w:val="both"/>
        <w:rPr>
          <w:rFonts w:ascii="Arial" w:hAnsi="Arial" w:cs="Arial"/>
          <w:sz w:val="20"/>
          <w:szCs w:val="20"/>
        </w:rPr>
      </w:pPr>
    </w:p>
    <w:p w14:paraId="47235B3D" w14:textId="77777777"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t xml:space="preserve">Vu le décret n° 2014-3505 du 30 septembre 2014, fixant les conditions d'attribution des prêts et d'octroi des subventions par la caisse des prêts et de soutien des collectivités locales et notamment ses articles 6, 10 et 11, </w:t>
      </w:r>
    </w:p>
    <w:p w14:paraId="32B9DD6C" w14:textId="77777777" w:rsidR="00225DEA" w:rsidRDefault="00225DEA" w:rsidP="00333B7F">
      <w:pPr>
        <w:spacing w:after="0" w:line="240" w:lineRule="auto"/>
        <w:ind w:left="284"/>
        <w:jc w:val="both"/>
        <w:rPr>
          <w:rFonts w:ascii="Arial" w:hAnsi="Arial" w:cs="Arial"/>
          <w:sz w:val="20"/>
          <w:szCs w:val="20"/>
        </w:rPr>
      </w:pPr>
    </w:p>
    <w:p w14:paraId="32701E62" w14:textId="77777777"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t xml:space="preserve">Vu le décret Présidentiel n° 2015-35 du 6 février 2015, relatif à la nomination du chef du gouvernement et de ses membres, </w:t>
      </w:r>
    </w:p>
    <w:p w14:paraId="1F7052FA" w14:textId="77777777" w:rsidR="00225DEA" w:rsidRDefault="00225DEA" w:rsidP="00333B7F">
      <w:pPr>
        <w:spacing w:after="0" w:line="240" w:lineRule="auto"/>
        <w:ind w:left="284"/>
        <w:jc w:val="both"/>
        <w:rPr>
          <w:rFonts w:ascii="Arial" w:hAnsi="Arial" w:cs="Arial"/>
          <w:sz w:val="20"/>
          <w:szCs w:val="20"/>
        </w:rPr>
      </w:pPr>
    </w:p>
    <w:p w14:paraId="124A6CAC" w14:textId="77777777"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t xml:space="preserve">Vu l’arrêté du ministre de l'intérieur et du ministre des finances du 13 juillet 2015, fixant les conditions minimales requises pour le transfert aux collectivités locales des subventions annuelles par la caisse des prêts et de soutien des collectivités locales, </w:t>
      </w:r>
    </w:p>
    <w:p w14:paraId="332BF306" w14:textId="77777777" w:rsidR="00225DEA" w:rsidRDefault="00225DEA" w:rsidP="00333B7F">
      <w:pPr>
        <w:spacing w:after="0" w:line="240" w:lineRule="auto"/>
        <w:ind w:left="284"/>
        <w:jc w:val="both"/>
        <w:rPr>
          <w:rFonts w:ascii="Arial" w:hAnsi="Arial" w:cs="Arial"/>
          <w:sz w:val="20"/>
          <w:szCs w:val="20"/>
        </w:rPr>
      </w:pPr>
    </w:p>
    <w:p w14:paraId="4C37B882" w14:textId="77777777"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t>Vu l’arrêté du ministre de l'intérieur et du ministre des finances du 3 août 2015, fixant les modalités de calcul des subventions globales non affectées mentionnées à l'article 6 du décret n° 2014-3505 du 30 septembre 2014.</w:t>
      </w:r>
    </w:p>
    <w:p w14:paraId="3816FB7B" w14:textId="77777777" w:rsidR="00225DEA" w:rsidRDefault="00225DEA" w:rsidP="00333B7F">
      <w:pPr>
        <w:spacing w:after="0" w:line="240" w:lineRule="auto"/>
        <w:ind w:left="284"/>
        <w:jc w:val="both"/>
        <w:rPr>
          <w:rFonts w:ascii="Arial" w:hAnsi="Arial" w:cs="Arial"/>
          <w:sz w:val="20"/>
          <w:szCs w:val="20"/>
        </w:rPr>
      </w:pPr>
    </w:p>
    <w:p w14:paraId="10AE2BA5" w14:textId="77777777"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lastRenderedPageBreak/>
        <w:t>Arrêtent :</w:t>
      </w:r>
    </w:p>
    <w:p w14:paraId="04CD194F" w14:textId="58AA2EE4" w:rsidR="00225DEA" w:rsidRDefault="00225DEA" w:rsidP="00333B7F">
      <w:pPr>
        <w:spacing w:after="0" w:line="240" w:lineRule="auto"/>
        <w:ind w:left="284"/>
        <w:jc w:val="both"/>
        <w:rPr>
          <w:rFonts w:ascii="Arial" w:hAnsi="Arial" w:cs="Arial"/>
          <w:sz w:val="20"/>
          <w:szCs w:val="20"/>
        </w:rPr>
      </w:pPr>
      <w:r w:rsidRPr="00225DEA">
        <w:rPr>
          <w:rFonts w:ascii="Arial" w:hAnsi="Arial" w:cs="Arial"/>
          <w:b/>
          <w:bCs/>
          <w:i/>
          <w:iCs/>
          <w:sz w:val="20"/>
          <w:szCs w:val="20"/>
        </w:rPr>
        <w:t>Article premier –</w:t>
      </w:r>
      <w:r>
        <w:rPr>
          <w:rFonts w:ascii="Arial" w:hAnsi="Arial" w:cs="Arial"/>
          <w:sz w:val="20"/>
          <w:szCs w:val="20"/>
        </w:rPr>
        <w:t xml:space="preserve"> </w:t>
      </w:r>
      <w:r w:rsidRPr="00225DEA">
        <w:rPr>
          <w:rFonts w:ascii="Arial" w:hAnsi="Arial" w:cs="Arial"/>
          <w:sz w:val="20"/>
          <w:szCs w:val="20"/>
        </w:rPr>
        <w:t>En application des dispositions de l’article 11 du décret n° 2014-3505 du 30 septembre 2014, fixant les conditions d'attribution des prêts et d'octroi des subventions par la caisse des prêts et de soutien des collectivités, l'évaluation annuelle et indépendante de la performance des collectivités locales, s’effectue dans le cadre d’amélioration des capacités de gestion et d'assurer la bonne utilisation des fonds publics conformément aux lois et règlements en vigueur, et ce, selon les critères mentionnées dans le présent arrêté.</w:t>
      </w:r>
    </w:p>
    <w:p w14:paraId="13D5BE6B" w14:textId="77777777" w:rsidR="00225DEA" w:rsidRPr="00225DEA" w:rsidRDefault="00225DEA" w:rsidP="00333B7F">
      <w:pPr>
        <w:spacing w:after="0" w:line="240" w:lineRule="auto"/>
        <w:ind w:left="284"/>
        <w:jc w:val="both"/>
        <w:rPr>
          <w:rFonts w:ascii="Arial" w:hAnsi="Arial" w:cs="Arial"/>
          <w:sz w:val="20"/>
          <w:szCs w:val="20"/>
        </w:rPr>
      </w:pPr>
    </w:p>
    <w:p w14:paraId="6F227114" w14:textId="77428CEA"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b/>
          <w:bCs/>
          <w:i/>
          <w:iCs/>
          <w:sz w:val="20"/>
          <w:szCs w:val="20"/>
        </w:rPr>
        <w:t>Art. 2 –</w:t>
      </w:r>
      <w:r>
        <w:rPr>
          <w:rFonts w:ascii="Arial" w:hAnsi="Arial" w:cs="Arial"/>
          <w:sz w:val="20"/>
          <w:szCs w:val="20"/>
        </w:rPr>
        <w:t xml:space="preserve"> </w:t>
      </w:r>
      <w:r w:rsidRPr="00225DEA">
        <w:rPr>
          <w:rFonts w:ascii="Arial" w:hAnsi="Arial" w:cs="Arial"/>
          <w:sz w:val="20"/>
          <w:szCs w:val="20"/>
        </w:rPr>
        <w:t>Le corps du contrôle général des services publics, vu qu’il s’agit d’une structure d’évaluation désignée à cette fin par la Présidence du gouvernement, assure l'évaluation annuelle et indépendante de la performance des collectivités locales, conformément aux dispositions du décret n° 2013-3232 du 12 août 2013.</w:t>
      </w:r>
    </w:p>
    <w:p w14:paraId="4F24DF1F" w14:textId="77777777" w:rsidR="00225DEA" w:rsidRDefault="00225DEA" w:rsidP="00333B7F">
      <w:pPr>
        <w:spacing w:after="0" w:line="240" w:lineRule="auto"/>
        <w:ind w:left="284"/>
        <w:jc w:val="both"/>
        <w:rPr>
          <w:rFonts w:ascii="Arial" w:hAnsi="Arial" w:cs="Arial"/>
          <w:sz w:val="20"/>
          <w:szCs w:val="20"/>
        </w:rPr>
      </w:pPr>
    </w:p>
    <w:p w14:paraId="1758F492" w14:textId="45EABB1E"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b/>
          <w:bCs/>
          <w:i/>
          <w:iCs/>
          <w:sz w:val="20"/>
          <w:szCs w:val="20"/>
        </w:rPr>
        <w:t>Art. 3 –</w:t>
      </w:r>
      <w:r>
        <w:rPr>
          <w:rFonts w:ascii="Arial" w:hAnsi="Arial" w:cs="Arial"/>
          <w:sz w:val="20"/>
          <w:szCs w:val="20"/>
        </w:rPr>
        <w:t xml:space="preserve"> </w:t>
      </w:r>
      <w:r w:rsidRPr="00225DEA">
        <w:rPr>
          <w:rFonts w:ascii="Arial" w:hAnsi="Arial" w:cs="Arial"/>
          <w:sz w:val="20"/>
          <w:szCs w:val="20"/>
        </w:rPr>
        <w:t>Les tableaux suivants fixent, les domaines, les thèmes et les indicateurs de l’évaluation de performances permettant aux collectivités locales de bénéficier des subventions non affectées allouées annuellement par l'Etat :</w:t>
      </w:r>
    </w:p>
    <w:p w14:paraId="23F83299" w14:textId="77777777" w:rsidR="0080167D" w:rsidRDefault="0080167D" w:rsidP="00333B7F">
      <w:pPr>
        <w:spacing w:after="0" w:line="240" w:lineRule="auto"/>
        <w:ind w:left="284"/>
        <w:jc w:val="both"/>
        <w:rPr>
          <w:rFonts w:ascii="Arial" w:hAnsi="Arial" w:cs="Arial"/>
          <w:sz w:val="20"/>
          <w:szCs w:val="20"/>
        </w:rPr>
      </w:pPr>
    </w:p>
    <w:p w14:paraId="4AAB3285" w14:textId="37B543CD" w:rsidR="00225DEA" w:rsidRPr="0080167D" w:rsidRDefault="0080167D" w:rsidP="00333B7F">
      <w:pPr>
        <w:spacing w:after="0" w:line="240" w:lineRule="auto"/>
        <w:ind w:left="284"/>
        <w:jc w:val="both"/>
        <w:rPr>
          <w:rFonts w:ascii="Arial" w:hAnsi="Arial" w:cs="Arial"/>
          <w:b/>
          <w:bCs/>
          <w:sz w:val="20"/>
          <w:szCs w:val="20"/>
        </w:rPr>
      </w:pPr>
      <w:r>
        <w:rPr>
          <w:rFonts w:ascii="Arial" w:hAnsi="Arial" w:cs="Arial"/>
          <w:b/>
          <w:bCs/>
          <w:sz w:val="20"/>
          <w:szCs w:val="20"/>
        </w:rPr>
        <w:t xml:space="preserve">Domaine n° 1 – </w:t>
      </w:r>
      <w:r w:rsidR="00225DEA" w:rsidRPr="0080167D">
        <w:rPr>
          <w:rFonts w:ascii="Arial" w:hAnsi="Arial" w:cs="Arial"/>
          <w:b/>
          <w:bCs/>
          <w:sz w:val="20"/>
          <w:szCs w:val="20"/>
        </w:rPr>
        <w:t>La gouvernance</w:t>
      </w:r>
    </w:p>
    <w:p w14:paraId="27784943" w14:textId="77777777" w:rsidR="00225DEA" w:rsidRPr="00225DEA" w:rsidRDefault="00225DEA" w:rsidP="00333B7F">
      <w:pPr>
        <w:spacing w:after="0" w:line="240" w:lineRule="auto"/>
        <w:ind w:left="284"/>
        <w:jc w:val="both"/>
        <w:rPr>
          <w:rFonts w:ascii="Arial" w:hAnsi="Arial" w:cs="Arial"/>
          <w:sz w:val="20"/>
          <w:szCs w:val="20"/>
        </w:rPr>
      </w:pPr>
    </w:p>
    <w:tbl>
      <w:tblPr>
        <w:tblStyle w:val="Grilledutableau"/>
        <w:bidiVisual/>
        <w:tblW w:w="0" w:type="auto"/>
        <w:tblInd w:w="284" w:type="dxa"/>
        <w:tblLayout w:type="fixed"/>
        <w:tblLook w:val="04A0" w:firstRow="1" w:lastRow="0" w:firstColumn="1" w:lastColumn="0" w:noHBand="0" w:noVBand="1"/>
      </w:tblPr>
      <w:tblGrid>
        <w:gridCol w:w="3931"/>
        <w:gridCol w:w="1418"/>
        <w:gridCol w:w="2551"/>
        <w:gridCol w:w="1668"/>
      </w:tblGrid>
      <w:tr w:rsidR="0080167D" w:rsidRPr="0080167D" w14:paraId="5CD2FF20" w14:textId="77777777" w:rsidTr="00333B7F">
        <w:tc>
          <w:tcPr>
            <w:tcW w:w="3931" w:type="dxa"/>
            <w:vAlign w:val="center"/>
          </w:tcPr>
          <w:p w14:paraId="674A5758" w14:textId="77777777" w:rsidR="0080167D" w:rsidRPr="00EB63C3" w:rsidRDefault="0080167D" w:rsidP="00333B7F">
            <w:pPr>
              <w:bidi/>
              <w:spacing w:after="0" w:line="240" w:lineRule="auto"/>
              <w:jc w:val="center"/>
              <w:rPr>
                <w:rFonts w:ascii="Arial" w:hAnsi="Arial" w:cs="Arial"/>
                <w:b/>
                <w:bCs/>
                <w:sz w:val="20"/>
                <w:szCs w:val="20"/>
              </w:rPr>
            </w:pPr>
            <w:r w:rsidRPr="00EB63C3">
              <w:rPr>
                <w:rFonts w:ascii="Arial" w:hAnsi="Arial" w:cs="Arial"/>
                <w:b/>
                <w:bCs/>
                <w:sz w:val="20"/>
                <w:szCs w:val="20"/>
              </w:rPr>
              <w:t>Indicateur de performance</w:t>
            </w:r>
          </w:p>
        </w:tc>
        <w:tc>
          <w:tcPr>
            <w:tcW w:w="1418" w:type="dxa"/>
            <w:vAlign w:val="center"/>
          </w:tcPr>
          <w:p w14:paraId="2A05B1EC" w14:textId="77777777" w:rsidR="0080167D" w:rsidRPr="00EB63C3" w:rsidRDefault="0080167D" w:rsidP="00333B7F">
            <w:pPr>
              <w:bidi/>
              <w:spacing w:after="0" w:line="240" w:lineRule="auto"/>
              <w:jc w:val="center"/>
              <w:rPr>
                <w:rFonts w:ascii="Arial" w:hAnsi="Arial" w:cs="Arial"/>
                <w:b/>
                <w:bCs/>
                <w:sz w:val="20"/>
                <w:szCs w:val="20"/>
              </w:rPr>
            </w:pPr>
            <w:r w:rsidRPr="00EB63C3">
              <w:rPr>
                <w:rFonts w:ascii="Arial" w:hAnsi="Arial" w:cs="Arial"/>
                <w:b/>
                <w:bCs/>
                <w:sz w:val="20"/>
                <w:szCs w:val="20"/>
              </w:rPr>
              <w:t>N° d’indicateur</w:t>
            </w:r>
          </w:p>
        </w:tc>
        <w:tc>
          <w:tcPr>
            <w:tcW w:w="2551" w:type="dxa"/>
            <w:vAlign w:val="center"/>
          </w:tcPr>
          <w:p w14:paraId="3787743D" w14:textId="77777777" w:rsidR="0080167D" w:rsidRPr="00EB63C3" w:rsidRDefault="0080167D" w:rsidP="00333B7F">
            <w:pPr>
              <w:bidi/>
              <w:spacing w:after="0" w:line="240" w:lineRule="auto"/>
              <w:jc w:val="center"/>
              <w:rPr>
                <w:rFonts w:ascii="Arial" w:hAnsi="Arial" w:cs="Arial"/>
                <w:b/>
                <w:bCs/>
                <w:sz w:val="20"/>
                <w:szCs w:val="20"/>
              </w:rPr>
            </w:pPr>
            <w:r w:rsidRPr="00EB63C3">
              <w:rPr>
                <w:rFonts w:ascii="Arial" w:hAnsi="Arial" w:cs="Arial"/>
                <w:b/>
                <w:bCs/>
                <w:sz w:val="20"/>
                <w:szCs w:val="20"/>
              </w:rPr>
              <w:t>Thème</w:t>
            </w:r>
          </w:p>
        </w:tc>
        <w:tc>
          <w:tcPr>
            <w:tcW w:w="1668" w:type="dxa"/>
            <w:vAlign w:val="center"/>
          </w:tcPr>
          <w:p w14:paraId="62832944" w14:textId="77777777" w:rsidR="0080167D" w:rsidRPr="00EB63C3" w:rsidRDefault="0080167D" w:rsidP="00333B7F">
            <w:pPr>
              <w:bidi/>
              <w:spacing w:after="0" w:line="240" w:lineRule="auto"/>
              <w:jc w:val="center"/>
              <w:rPr>
                <w:rFonts w:ascii="Arial" w:hAnsi="Arial" w:cs="Arial"/>
                <w:b/>
                <w:bCs/>
                <w:sz w:val="20"/>
                <w:szCs w:val="20"/>
              </w:rPr>
            </w:pPr>
            <w:r w:rsidRPr="00EB63C3">
              <w:rPr>
                <w:rFonts w:ascii="Arial" w:hAnsi="Arial" w:cs="Arial"/>
                <w:b/>
                <w:bCs/>
                <w:sz w:val="20"/>
                <w:szCs w:val="20"/>
              </w:rPr>
              <w:t>Domaine</w:t>
            </w:r>
          </w:p>
        </w:tc>
      </w:tr>
      <w:tr w:rsidR="00207FFE" w:rsidRPr="0080167D" w14:paraId="5F88909D" w14:textId="77777777" w:rsidTr="00333B7F">
        <w:tc>
          <w:tcPr>
            <w:tcW w:w="3931" w:type="dxa"/>
            <w:vAlign w:val="center"/>
          </w:tcPr>
          <w:p w14:paraId="61C47A59" w14:textId="53CB68C3" w:rsidR="00207FFE" w:rsidRPr="0080167D" w:rsidRDefault="00207FFE" w:rsidP="00333B7F">
            <w:pPr>
              <w:spacing w:after="0" w:line="240" w:lineRule="auto"/>
              <w:jc w:val="both"/>
              <w:rPr>
                <w:rFonts w:ascii="Arial" w:hAnsi="Arial" w:cs="Arial"/>
                <w:sz w:val="20"/>
                <w:szCs w:val="20"/>
              </w:rPr>
            </w:pPr>
            <w:r w:rsidRPr="00225DEA">
              <w:rPr>
                <w:rFonts w:ascii="Arial" w:hAnsi="Arial" w:cs="Arial"/>
                <w:sz w:val="20"/>
                <w:szCs w:val="20"/>
              </w:rPr>
              <w:t>Le déroulement des réunions préparatoires aux sessions ordinaires du conseil de la collectivité locale (4 réunions)</w:t>
            </w:r>
          </w:p>
        </w:tc>
        <w:tc>
          <w:tcPr>
            <w:tcW w:w="1418" w:type="dxa"/>
            <w:vAlign w:val="center"/>
          </w:tcPr>
          <w:p w14:paraId="49968BD6" w14:textId="0F180802" w:rsidR="00207FFE" w:rsidRPr="00EB63C3" w:rsidRDefault="00EB63C3" w:rsidP="00333B7F">
            <w:pPr>
              <w:spacing w:after="0" w:line="240" w:lineRule="auto"/>
              <w:jc w:val="center"/>
              <w:rPr>
                <w:rFonts w:ascii="Arial" w:hAnsi="Arial" w:cs="Arial"/>
                <w:sz w:val="20"/>
                <w:szCs w:val="20"/>
              </w:rPr>
            </w:pPr>
            <w:r w:rsidRPr="00EB63C3">
              <w:rPr>
                <w:rFonts w:ascii="Arial" w:hAnsi="Arial" w:cs="Arial"/>
                <w:sz w:val="20"/>
                <w:szCs w:val="20"/>
              </w:rPr>
              <w:t>1-1</w:t>
            </w:r>
          </w:p>
        </w:tc>
        <w:tc>
          <w:tcPr>
            <w:tcW w:w="2551" w:type="dxa"/>
            <w:vMerge w:val="restart"/>
            <w:vAlign w:val="center"/>
          </w:tcPr>
          <w:p w14:paraId="2F7F72F9" w14:textId="00759E0B" w:rsidR="00207FFE" w:rsidRPr="00EB63C3" w:rsidRDefault="00207FFE" w:rsidP="00333B7F">
            <w:pPr>
              <w:pStyle w:val="Paragraphedeliste"/>
              <w:numPr>
                <w:ilvl w:val="0"/>
                <w:numId w:val="28"/>
              </w:numPr>
              <w:spacing w:after="0" w:line="240" w:lineRule="auto"/>
              <w:ind w:left="643"/>
              <w:rPr>
                <w:rFonts w:ascii="Arial" w:hAnsi="Arial" w:cs="Arial"/>
                <w:b/>
                <w:bCs/>
                <w:sz w:val="20"/>
                <w:szCs w:val="20"/>
              </w:rPr>
            </w:pPr>
            <w:r w:rsidRPr="00EB63C3">
              <w:rPr>
                <w:rFonts w:ascii="Arial" w:hAnsi="Arial" w:cs="Arial"/>
                <w:b/>
                <w:bCs/>
                <w:sz w:val="20"/>
                <w:szCs w:val="20"/>
              </w:rPr>
              <w:t>Application de l’approche participative</w:t>
            </w:r>
          </w:p>
        </w:tc>
        <w:tc>
          <w:tcPr>
            <w:tcW w:w="1668" w:type="dxa"/>
            <w:vMerge w:val="restart"/>
            <w:vAlign w:val="center"/>
          </w:tcPr>
          <w:p w14:paraId="476A9951" w14:textId="0E15CC36" w:rsidR="00207FFE" w:rsidRPr="00EB63C3" w:rsidRDefault="00207FFE" w:rsidP="00333B7F">
            <w:pPr>
              <w:bidi/>
              <w:spacing w:after="0" w:line="240" w:lineRule="auto"/>
              <w:jc w:val="both"/>
              <w:rPr>
                <w:rFonts w:ascii="Arial" w:hAnsi="Arial" w:cs="Arial"/>
                <w:b/>
                <w:bCs/>
                <w:sz w:val="20"/>
                <w:szCs w:val="20"/>
              </w:rPr>
            </w:pPr>
            <w:r w:rsidRPr="00EB63C3">
              <w:rPr>
                <w:rFonts w:ascii="Arial" w:hAnsi="Arial" w:cs="Arial"/>
                <w:b/>
                <w:bCs/>
                <w:sz w:val="20"/>
                <w:szCs w:val="20"/>
              </w:rPr>
              <w:t xml:space="preserve">Gouvernance </w:t>
            </w:r>
          </w:p>
        </w:tc>
      </w:tr>
      <w:tr w:rsidR="00207FFE" w:rsidRPr="0080167D" w14:paraId="75AE8D6B" w14:textId="77777777" w:rsidTr="00333B7F">
        <w:tc>
          <w:tcPr>
            <w:tcW w:w="3931" w:type="dxa"/>
            <w:vAlign w:val="center"/>
          </w:tcPr>
          <w:p w14:paraId="1F92A793" w14:textId="583384AC" w:rsidR="00207FFE" w:rsidRPr="00225DEA" w:rsidRDefault="00207FFE" w:rsidP="00333B7F">
            <w:pPr>
              <w:spacing w:after="0" w:line="240" w:lineRule="auto"/>
              <w:jc w:val="both"/>
              <w:rPr>
                <w:rFonts w:ascii="Arial" w:hAnsi="Arial" w:cs="Arial"/>
                <w:sz w:val="20"/>
                <w:szCs w:val="20"/>
              </w:rPr>
            </w:pPr>
            <w:r w:rsidRPr="00225DEA">
              <w:rPr>
                <w:rFonts w:ascii="Arial" w:hAnsi="Arial" w:cs="Arial"/>
                <w:sz w:val="20"/>
                <w:szCs w:val="20"/>
              </w:rPr>
              <w:t>Le déroulement des sessions ordinaires du conseil de la collectivité locale (4 sessions)</w:t>
            </w:r>
            <w:r w:rsidRPr="00225DEA">
              <w:rPr>
                <w:rFonts w:ascii="Arial" w:hAnsi="Arial" w:cs="Arial"/>
                <w:sz w:val="20"/>
                <w:szCs w:val="20"/>
              </w:rPr>
              <w:tab/>
            </w:r>
          </w:p>
          <w:p w14:paraId="0FA38E05" w14:textId="77777777" w:rsidR="00207FFE" w:rsidRPr="0080167D" w:rsidRDefault="00207FFE" w:rsidP="00333B7F">
            <w:pPr>
              <w:spacing w:after="0" w:line="240" w:lineRule="auto"/>
              <w:jc w:val="both"/>
              <w:rPr>
                <w:rFonts w:ascii="Arial" w:hAnsi="Arial" w:cs="Arial"/>
                <w:sz w:val="20"/>
                <w:szCs w:val="20"/>
              </w:rPr>
            </w:pPr>
          </w:p>
        </w:tc>
        <w:tc>
          <w:tcPr>
            <w:tcW w:w="1418" w:type="dxa"/>
            <w:vAlign w:val="center"/>
          </w:tcPr>
          <w:p w14:paraId="108C0D7E" w14:textId="54102766" w:rsidR="00207FFE" w:rsidRPr="00EB63C3" w:rsidRDefault="00EB63C3" w:rsidP="00333B7F">
            <w:pPr>
              <w:spacing w:after="0" w:line="240" w:lineRule="auto"/>
              <w:jc w:val="center"/>
              <w:rPr>
                <w:rFonts w:ascii="Arial" w:hAnsi="Arial" w:cs="Arial"/>
                <w:sz w:val="20"/>
                <w:szCs w:val="20"/>
              </w:rPr>
            </w:pPr>
            <w:r>
              <w:rPr>
                <w:rFonts w:ascii="Arial" w:hAnsi="Arial" w:cs="Arial"/>
                <w:sz w:val="20"/>
                <w:szCs w:val="20"/>
              </w:rPr>
              <w:t>1-2</w:t>
            </w:r>
          </w:p>
        </w:tc>
        <w:tc>
          <w:tcPr>
            <w:tcW w:w="2551" w:type="dxa"/>
            <w:vMerge/>
            <w:vAlign w:val="center"/>
          </w:tcPr>
          <w:p w14:paraId="67EE4CAC" w14:textId="77777777" w:rsidR="00207FFE" w:rsidRPr="00EB63C3" w:rsidRDefault="00207FFE" w:rsidP="00333B7F">
            <w:pPr>
              <w:pStyle w:val="Paragraphedeliste"/>
              <w:numPr>
                <w:ilvl w:val="0"/>
                <w:numId w:val="28"/>
              </w:numPr>
              <w:spacing w:after="0" w:line="240" w:lineRule="auto"/>
              <w:ind w:left="283"/>
              <w:jc w:val="center"/>
              <w:rPr>
                <w:rFonts w:ascii="Arial" w:hAnsi="Arial" w:cs="Arial"/>
                <w:b/>
                <w:bCs/>
                <w:sz w:val="20"/>
                <w:szCs w:val="20"/>
              </w:rPr>
            </w:pPr>
          </w:p>
        </w:tc>
        <w:tc>
          <w:tcPr>
            <w:tcW w:w="1668" w:type="dxa"/>
            <w:vMerge/>
          </w:tcPr>
          <w:p w14:paraId="3C0061A3" w14:textId="77777777" w:rsidR="00207FFE" w:rsidRPr="0080167D" w:rsidRDefault="00207FFE" w:rsidP="00333B7F">
            <w:pPr>
              <w:bidi/>
              <w:spacing w:after="0" w:line="240" w:lineRule="auto"/>
              <w:jc w:val="both"/>
              <w:rPr>
                <w:rFonts w:ascii="Arial" w:hAnsi="Arial" w:cs="Arial"/>
                <w:sz w:val="20"/>
                <w:szCs w:val="20"/>
              </w:rPr>
            </w:pPr>
          </w:p>
        </w:tc>
      </w:tr>
      <w:tr w:rsidR="00207FFE" w:rsidRPr="0080167D" w14:paraId="6539A3DC" w14:textId="77777777" w:rsidTr="00333B7F">
        <w:tc>
          <w:tcPr>
            <w:tcW w:w="3931" w:type="dxa"/>
            <w:vAlign w:val="center"/>
          </w:tcPr>
          <w:p w14:paraId="25A5797A" w14:textId="7D26BECB" w:rsidR="00207FFE" w:rsidRPr="0080167D" w:rsidRDefault="00207FFE" w:rsidP="00333B7F">
            <w:pPr>
              <w:spacing w:after="0" w:line="240" w:lineRule="auto"/>
              <w:jc w:val="both"/>
              <w:rPr>
                <w:rFonts w:ascii="Arial" w:hAnsi="Arial" w:cs="Arial"/>
                <w:sz w:val="20"/>
                <w:szCs w:val="20"/>
              </w:rPr>
            </w:pPr>
            <w:r w:rsidRPr="00225DEA">
              <w:rPr>
                <w:rFonts w:ascii="Arial" w:hAnsi="Arial" w:cs="Arial"/>
                <w:sz w:val="20"/>
                <w:szCs w:val="20"/>
              </w:rPr>
              <w:t>Des actions supplémentaires reflètent l’application de la démarche participative dans la prise de décision (la consultation, la codécision, ...)</w:t>
            </w:r>
          </w:p>
        </w:tc>
        <w:tc>
          <w:tcPr>
            <w:tcW w:w="1418" w:type="dxa"/>
            <w:vAlign w:val="center"/>
          </w:tcPr>
          <w:p w14:paraId="5831F84A" w14:textId="3417E232" w:rsidR="00207FFE" w:rsidRPr="0080167D" w:rsidRDefault="00207FFE" w:rsidP="00333B7F">
            <w:pPr>
              <w:spacing w:after="0" w:line="240" w:lineRule="auto"/>
              <w:jc w:val="center"/>
              <w:rPr>
                <w:rFonts w:ascii="Arial" w:hAnsi="Arial" w:cs="Arial"/>
                <w:sz w:val="20"/>
                <w:szCs w:val="20"/>
              </w:rPr>
            </w:pPr>
            <w:r>
              <w:rPr>
                <w:rFonts w:ascii="Arial" w:hAnsi="Arial" w:cs="Arial"/>
                <w:sz w:val="20"/>
                <w:szCs w:val="20"/>
              </w:rPr>
              <w:t>1-3</w:t>
            </w:r>
          </w:p>
        </w:tc>
        <w:tc>
          <w:tcPr>
            <w:tcW w:w="2551" w:type="dxa"/>
            <w:vMerge/>
            <w:vAlign w:val="center"/>
          </w:tcPr>
          <w:p w14:paraId="100F06DA" w14:textId="77777777" w:rsidR="00207FFE" w:rsidRPr="00EB63C3" w:rsidRDefault="00207FFE" w:rsidP="00333B7F">
            <w:pPr>
              <w:pStyle w:val="Paragraphedeliste"/>
              <w:numPr>
                <w:ilvl w:val="0"/>
                <w:numId w:val="28"/>
              </w:numPr>
              <w:spacing w:after="0" w:line="240" w:lineRule="auto"/>
              <w:ind w:left="283"/>
              <w:jc w:val="center"/>
              <w:rPr>
                <w:rFonts w:ascii="Arial" w:hAnsi="Arial" w:cs="Arial"/>
                <w:b/>
                <w:bCs/>
                <w:sz w:val="20"/>
                <w:szCs w:val="20"/>
              </w:rPr>
            </w:pPr>
          </w:p>
        </w:tc>
        <w:tc>
          <w:tcPr>
            <w:tcW w:w="1668" w:type="dxa"/>
            <w:vMerge/>
          </w:tcPr>
          <w:p w14:paraId="2B86961D" w14:textId="77777777" w:rsidR="00207FFE" w:rsidRPr="0080167D" w:rsidRDefault="00207FFE" w:rsidP="00333B7F">
            <w:pPr>
              <w:bidi/>
              <w:spacing w:after="0" w:line="240" w:lineRule="auto"/>
              <w:jc w:val="both"/>
              <w:rPr>
                <w:rFonts w:ascii="Arial" w:hAnsi="Arial" w:cs="Arial"/>
                <w:sz w:val="20"/>
                <w:szCs w:val="20"/>
              </w:rPr>
            </w:pPr>
          </w:p>
        </w:tc>
      </w:tr>
      <w:tr w:rsidR="00207FFE" w:rsidRPr="0080167D" w14:paraId="724FD35F" w14:textId="77777777" w:rsidTr="00333B7F">
        <w:tc>
          <w:tcPr>
            <w:tcW w:w="3931" w:type="dxa"/>
            <w:vAlign w:val="center"/>
          </w:tcPr>
          <w:p w14:paraId="7C865E28" w14:textId="1CCB6557" w:rsidR="00207FFE" w:rsidRPr="00225DEA" w:rsidRDefault="00207FFE" w:rsidP="00333B7F">
            <w:pPr>
              <w:spacing w:after="0" w:line="240" w:lineRule="auto"/>
              <w:jc w:val="both"/>
              <w:rPr>
                <w:rFonts w:ascii="Arial" w:hAnsi="Arial" w:cs="Arial"/>
                <w:sz w:val="20"/>
                <w:szCs w:val="20"/>
              </w:rPr>
            </w:pPr>
            <w:r w:rsidRPr="00225DEA">
              <w:rPr>
                <w:rFonts w:ascii="Arial" w:hAnsi="Arial" w:cs="Arial"/>
                <w:sz w:val="20"/>
                <w:szCs w:val="20"/>
              </w:rPr>
              <w:t>Les citoyens ont accès aux documents administratifs et financiers clefs de la collectivité locale via l’internet</w:t>
            </w:r>
            <w:r w:rsidRPr="00225DEA">
              <w:rPr>
                <w:rFonts w:ascii="Arial" w:hAnsi="Arial" w:cs="Arial"/>
                <w:sz w:val="20"/>
                <w:szCs w:val="20"/>
              </w:rPr>
              <w:tab/>
            </w:r>
          </w:p>
          <w:p w14:paraId="5464CC28" w14:textId="77777777" w:rsidR="00207FFE" w:rsidRPr="0080167D" w:rsidRDefault="00207FFE" w:rsidP="00333B7F">
            <w:pPr>
              <w:spacing w:after="0" w:line="240" w:lineRule="auto"/>
              <w:jc w:val="both"/>
              <w:rPr>
                <w:rFonts w:ascii="Arial" w:hAnsi="Arial" w:cs="Arial"/>
                <w:sz w:val="20"/>
                <w:szCs w:val="20"/>
              </w:rPr>
            </w:pPr>
          </w:p>
        </w:tc>
        <w:tc>
          <w:tcPr>
            <w:tcW w:w="1418" w:type="dxa"/>
            <w:vAlign w:val="center"/>
          </w:tcPr>
          <w:p w14:paraId="39F8F220" w14:textId="134D5F33" w:rsidR="00207FFE" w:rsidRPr="0080167D" w:rsidRDefault="00207FFE" w:rsidP="00333B7F">
            <w:pPr>
              <w:spacing w:after="0" w:line="240" w:lineRule="auto"/>
              <w:jc w:val="center"/>
              <w:rPr>
                <w:rFonts w:ascii="Arial" w:hAnsi="Arial" w:cs="Arial"/>
                <w:sz w:val="20"/>
                <w:szCs w:val="20"/>
              </w:rPr>
            </w:pPr>
            <w:r>
              <w:rPr>
                <w:rFonts w:ascii="Arial" w:hAnsi="Arial" w:cs="Arial"/>
                <w:sz w:val="20"/>
                <w:szCs w:val="20"/>
              </w:rPr>
              <w:t>2-1</w:t>
            </w:r>
          </w:p>
        </w:tc>
        <w:tc>
          <w:tcPr>
            <w:tcW w:w="2551" w:type="dxa"/>
            <w:vMerge w:val="restart"/>
            <w:vAlign w:val="center"/>
          </w:tcPr>
          <w:p w14:paraId="1E6D7611" w14:textId="3C3F00C2" w:rsidR="00207FFE" w:rsidRPr="00EB63C3" w:rsidRDefault="00207FFE" w:rsidP="00333B7F">
            <w:pPr>
              <w:pStyle w:val="Paragraphedeliste"/>
              <w:numPr>
                <w:ilvl w:val="0"/>
                <w:numId w:val="28"/>
              </w:numPr>
              <w:spacing w:after="0" w:line="240" w:lineRule="auto"/>
              <w:ind w:left="643"/>
              <w:rPr>
                <w:rFonts w:ascii="Arial" w:hAnsi="Arial" w:cs="Arial"/>
                <w:b/>
                <w:bCs/>
                <w:sz w:val="20"/>
                <w:szCs w:val="20"/>
              </w:rPr>
            </w:pPr>
            <w:r w:rsidRPr="00EB63C3">
              <w:rPr>
                <w:rFonts w:ascii="Arial" w:hAnsi="Arial" w:cs="Arial"/>
                <w:b/>
                <w:bCs/>
                <w:sz w:val="20"/>
                <w:szCs w:val="20"/>
              </w:rPr>
              <w:t>Transparence et accès à l’information</w:t>
            </w:r>
          </w:p>
        </w:tc>
        <w:tc>
          <w:tcPr>
            <w:tcW w:w="1668" w:type="dxa"/>
            <w:vMerge/>
          </w:tcPr>
          <w:p w14:paraId="685725BE" w14:textId="77777777" w:rsidR="00207FFE" w:rsidRPr="0080167D" w:rsidRDefault="00207FFE" w:rsidP="00333B7F">
            <w:pPr>
              <w:bidi/>
              <w:spacing w:after="0" w:line="240" w:lineRule="auto"/>
              <w:jc w:val="both"/>
              <w:rPr>
                <w:rFonts w:ascii="Arial" w:hAnsi="Arial" w:cs="Arial"/>
                <w:sz w:val="20"/>
                <w:szCs w:val="20"/>
              </w:rPr>
            </w:pPr>
          </w:p>
        </w:tc>
      </w:tr>
      <w:tr w:rsidR="00207FFE" w:rsidRPr="0080167D" w14:paraId="0640BF47" w14:textId="77777777" w:rsidTr="00333B7F">
        <w:tc>
          <w:tcPr>
            <w:tcW w:w="3931" w:type="dxa"/>
            <w:vAlign w:val="center"/>
          </w:tcPr>
          <w:p w14:paraId="6320F28F" w14:textId="6711E1FF" w:rsidR="00207FFE" w:rsidRPr="00225DEA" w:rsidRDefault="00207FFE" w:rsidP="00333B7F">
            <w:pPr>
              <w:spacing w:after="0" w:line="240" w:lineRule="auto"/>
              <w:jc w:val="both"/>
              <w:rPr>
                <w:rFonts w:ascii="Arial" w:hAnsi="Arial" w:cs="Arial"/>
                <w:sz w:val="20"/>
                <w:szCs w:val="20"/>
              </w:rPr>
            </w:pPr>
            <w:r>
              <w:rPr>
                <w:rFonts w:ascii="Arial" w:hAnsi="Arial" w:cs="Arial"/>
                <w:sz w:val="20"/>
                <w:szCs w:val="20"/>
              </w:rPr>
              <w:t xml:space="preserve">La collectivité locale utilise des moyens supplémentaires pour informer les citoyens </w:t>
            </w:r>
          </w:p>
        </w:tc>
        <w:tc>
          <w:tcPr>
            <w:tcW w:w="1418" w:type="dxa"/>
            <w:vAlign w:val="center"/>
          </w:tcPr>
          <w:p w14:paraId="02064AD2" w14:textId="1A49E280" w:rsidR="00207FFE" w:rsidRPr="0080167D" w:rsidRDefault="00207FFE" w:rsidP="00333B7F">
            <w:pPr>
              <w:spacing w:after="0" w:line="240" w:lineRule="auto"/>
              <w:jc w:val="center"/>
              <w:rPr>
                <w:rFonts w:ascii="Arial" w:hAnsi="Arial" w:cs="Arial"/>
                <w:sz w:val="20"/>
                <w:szCs w:val="20"/>
              </w:rPr>
            </w:pPr>
            <w:r>
              <w:rPr>
                <w:rFonts w:ascii="Arial" w:hAnsi="Arial" w:cs="Arial"/>
                <w:sz w:val="20"/>
                <w:szCs w:val="20"/>
              </w:rPr>
              <w:t>2-2</w:t>
            </w:r>
          </w:p>
        </w:tc>
        <w:tc>
          <w:tcPr>
            <w:tcW w:w="2551" w:type="dxa"/>
            <w:vMerge/>
            <w:vAlign w:val="center"/>
          </w:tcPr>
          <w:p w14:paraId="4670F8DC" w14:textId="77777777" w:rsidR="00207FFE" w:rsidRPr="00EB63C3" w:rsidRDefault="00207FFE" w:rsidP="00333B7F">
            <w:pPr>
              <w:pStyle w:val="Paragraphedeliste"/>
              <w:numPr>
                <w:ilvl w:val="0"/>
                <w:numId w:val="28"/>
              </w:numPr>
              <w:spacing w:after="0" w:line="240" w:lineRule="auto"/>
              <w:ind w:left="643"/>
              <w:rPr>
                <w:rFonts w:ascii="Arial" w:hAnsi="Arial" w:cs="Arial"/>
                <w:b/>
                <w:bCs/>
                <w:sz w:val="20"/>
                <w:szCs w:val="20"/>
              </w:rPr>
            </w:pPr>
          </w:p>
        </w:tc>
        <w:tc>
          <w:tcPr>
            <w:tcW w:w="1668" w:type="dxa"/>
            <w:vMerge/>
          </w:tcPr>
          <w:p w14:paraId="7707EDF5" w14:textId="77777777" w:rsidR="00207FFE" w:rsidRPr="0080167D" w:rsidRDefault="00207FFE" w:rsidP="00333B7F">
            <w:pPr>
              <w:bidi/>
              <w:spacing w:after="0" w:line="240" w:lineRule="auto"/>
              <w:jc w:val="both"/>
              <w:rPr>
                <w:rFonts w:ascii="Arial" w:hAnsi="Arial" w:cs="Arial"/>
                <w:sz w:val="20"/>
                <w:szCs w:val="20"/>
              </w:rPr>
            </w:pPr>
          </w:p>
        </w:tc>
      </w:tr>
      <w:tr w:rsidR="00207FFE" w:rsidRPr="0080167D" w14:paraId="170CAD2B" w14:textId="77777777" w:rsidTr="00333B7F">
        <w:tc>
          <w:tcPr>
            <w:tcW w:w="3931" w:type="dxa"/>
            <w:vAlign w:val="center"/>
          </w:tcPr>
          <w:p w14:paraId="7E836853" w14:textId="7A743AF0" w:rsidR="00207FFE" w:rsidRPr="0080167D" w:rsidRDefault="00207FFE" w:rsidP="00333B7F">
            <w:pPr>
              <w:spacing w:after="0" w:line="240" w:lineRule="auto"/>
              <w:jc w:val="both"/>
              <w:rPr>
                <w:rFonts w:ascii="Arial" w:hAnsi="Arial" w:cs="Arial"/>
                <w:sz w:val="20"/>
                <w:szCs w:val="20"/>
              </w:rPr>
            </w:pPr>
            <w:r w:rsidRPr="00225DEA">
              <w:rPr>
                <w:rFonts w:ascii="Arial" w:hAnsi="Arial" w:cs="Arial"/>
                <w:sz w:val="20"/>
                <w:szCs w:val="20"/>
              </w:rPr>
              <w:t>Nomination d’un point focal pour la gestion des plaintes</w:t>
            </w:r>
          </w:p>
        </w:tc>
        <w:tc>
          <w:tcPr>
            <w:tcW w:w="1418" w:type="dxa"/>
            <w:vAlign w:val="center"/>
          </w:tcPr>
          <w:p w14:paraId="12464073" w14:textId="1F82FA1B" w:rsidR="00207FFE" w:rsidRPr="0080167D" w:rsidRDefault="00207FFE" w:rsidP="00333B7F">
            <w:pPr>
              <w:spacing w:after="0" w:line="240" w:lineRule="auto"/>
              <w:jc w:val="center"/>
              <w:rPr>
                <w:rFonts w:ascii="Arial" w:hAnsi="Arial" w:cs="Arial"/>
                <w:sz w:val="20"/>
                <w:szCs w:val="20"/>
              </w:rPr>
            </w:pPr>
            <w:r>
              <w:rPr>
                <w:rFonts w:ascii="Arial" w:hAnsi="Arial" w:cs="Arial"/>
                <w:sz w:val="20"/>
                <w:szCs w:val="20"/>
              </w:rPr>
              <w:t>3-1</w:t>
            </w:r>
          </w:p>
        </w:tc>
        <w:tc>
          <w:tcPr>
            <w:tcW w:w="2551" w:type="dxa"/>
            <w:vMerge/>
            <w:vAlign w:val="center"/>
          </w:tcPr>
          <w:p w14:paraId="2C233ED7" w14:textId="77777777" w:rsidR="00207FFE" w:rsidRPr="00EB63C3" w:rsidRDefault="00207FFE" w:rsidP="00333B7F">
            <w:pPr>
              <w:pStyle w:val="Paragraphedeliste"/>
              <w:numPr>
                <w:ilvl w:val="0"/>
                <w:numId w:val="28"/>
              </w:numPr>
              <w:spacing w:after="0" w:line="240" w:lineRule="auto"/>
              <w:ind w:left="643"/>
              <w:rPr>
                <w:rFonts w:ascii="Arial" w:hAnsi="Arial" w:cs="Arial"/>
                <w:b/>
                <w:bCs/>
                <w:sz w:val="20"/>
                <w:szCs w:val="20"/>
              </w:rPr>
            </w:pPr>
          </w:p>
        </w:tc>
        <w:tc>
          <w:tcPr>
            <w:tcW w:w="1668" w:type="dxa"/>
            <w:vMerge/>
          </w:tcPr>
          <w:p w14:paraId="5F2E8762" w14:textId="77777777" w:rsidR="00207FFE" w:rsidRPr="0080167D" w:rsidRDefault="00207FFE" w:rsidP="00333B7F">
            <w:pPr>
              <w:bidi/>
              <w:spacing w:after="0" w:line="240" w:lineRule="auto"/>
              <w:jc w:val="both"/>
              <w:rPr>
                <w:rFonts w:ascii="Arial" w:hAnsi="Arial" w:cs="Arial"/>
                <w:sz w:val="20"/>
                <w:szCs w:val="20"/>
              </w:rPr>
            </w:pPr>
          </w:p>
        </w:tc>
      </w:tr>
      <w:tr w:rsidR="00207FFE" w:rsidRPr="0080167D" w14:paraId="772CBAED" w14:textId="77777777" w:rsidTr="00333B7F">
        <w:tc>
          <w:tcPr>
            <w:tcW w:w="3931" w:type="dxa"/>
            <w:vAlign w:val="center"/>
          </w:tcPr>
          <w:p w14:paraId="35FAE927" w14:textId="13075EC5" w:rsidR="00207FFE" w:rsidRPr="00225DEA" w:rsidRDefault="00207FFE" w:rsidP="00333B7F">
            <w:pPr>
              <w:spacing w:after="0" w:line="240" w:lineRule="auto"/>
              <w:jc w:val="both"/>
              <w:rPr>
                <w:rFonts w:ascii="Arial" w:hAnsi="Arial" w:cs="Arial"/>
                <w:sz w:val="20"/>
                <w:szCs w:val="20"/>
              </w:rPr>
            </w:pPr>
            <w:r w:rsidRPr="00225DEA">
              <w:rPr>
                <w:rFonts w:ascii="Arial" w:hAnsi="Arial" w:cs="Arial"/>
                <w:sz w:val="20"/>
                <w:szCs w:val="20"/>
              </w:rPr>
              <w:t>Tenue d’un registre actualisé des plaintes déposées et des réponses qui leur sont apportées</w:t>
            </w:r>
            <w:r w:rsidRPr="00225DEA">
              <w:rPr>
                <w:rFonts w:ascii="Arial" w:hAnsi="Arial" w:cs="Arial"/>
                <w:sz w:val="20"/>
                <w:szCs w:val="20"/>
              </w:rPr>
              <w:tab/>
            </w:r>
          </w:p>
          <w:p w14:paraId="5AA49CBF" w14:textId="77777777" w:rsidR="00207FFE" w:rsidRPr="0080167D" w:rsidRDefault="00207FFE" w:rsidP="00333B7F">
            <w:pPr>
              <w:spacing w:after="0" w:line="240" w:lineRule="auto"/>
              <w:jc w:val="both"/>
              <w:rPr>
                <w:rFonts w:ascii="Arial" w:hAnsi="Arial" w:cs="Arial"/>
                <w:sz w:val="20"/>
                <w:szCs w:val="20"/>
              </w:rPr>
            </w:pPr>
          </w:p>
        </w:tc>
        <w:tc>
          <w:tcPr>
            <w:tcW w:w="1418" w:type="dxa"/>
            <w:vAlign w:val="center"/>
          </w:tcPr>
          <w:p w14:paraId="781E2154" w14:textId="7EC19AB9" w:rsidR="00207FFE" w:rsidRPr="0080167D" w:rsidRDefault="00207FFE" w:rsidP="00333B7F">
            <w:pPr>
              <w:spacing w:after="0" w:line="240" w:lineRule="auto"/>
              <w:jc w:val="center"/>
              <w:rPr>
                <w:rFonts w:ascii="Arial" w:hAnsi="Arial" w:cs="Arial"/>
                <w:sz w:val="20"/>
                <w:szCs w:val="20"/>
              </w:rPr>
            </w:pPr>
            <w:r>
              <w:rPr>
                <w:rFonts w:ascii="Arial" w:hAnsi="Arial" w:cs="Arial"/>
                <w:sz w:val="20"/>
                <w:szCs w:val="20"/>
              </w:rPr>
              <w:t>3-2</w:t>
            </w:r>
          </w:p>
        </w:tc>
        <w:tc>
          <w:tcPr>
            <w:tcW w:w="2551" w:type="dxa"/>
            <w:vMerge w:val="restart"/>
            <w:vAlign w:val="center"/>
          </w:tcPr>
          <w:p w14:paraId="79DF2082" w14:textId="318B76D8" w:rsidR="00207FFE" w:rsidRPr="00EB63C3" w:rsidRDefault="00207FFE" w:rsidP="00333B7F">
            <w:pPr>
              <w:pStyle w:val="Paragraphedeliste"/>
              <w:numPr>
                <w:ilvl w:val="0"/>
                <w:numId w:val="28"/>
              </w:numPr>
              <w:spacing w:after="0" w:line="240" w:lineRule="auto"/>
              <w:ind w:left="643"/>
              <w:rPr>
                <w:rFonts w:ascii="Arial" w:hAnsi="Arial" w:cs="Arial"/>
                <w:b/>
                <w:bCs/>
                <w:sz w:val="20"/>
                <w:szCs w:val="20"/>
              </w:rPr>
            </w:pPr>
            <w:r w:rsidRPr="00EB63C3">
              <w:rPr>
                <w:rFonts w:ascii="Arial" w:hAnsi="Arial" w:cs="Arial"/>
                <w:b/>
                <w:bCs/>
                <w:sz w:val="20"/>
                <w:szCs w:val="20"/>
              </w:rPr>
              <w:t>Mécanisme de gestion des plaintes</w:t>
            </w:r>
          </w:p>
          <w:p w14:paraId="36F17A78" w14:textId="77777777" w:rsidR="00207FFE" w:rsidRPr="00EB63C3" w:rsidRDefault="00207FFE" w:rsidP="00333B7F">
            <w:pPr>
              <w:spacing w:after="0" w:line="240" w:lineRule="auto"/>
              <w:ind w:left="643"/>
              <w:rPr>
                <w:rFonts w:ascii="Arial" w:hAnsi="Arial" w:cs="Arial"/>
                <w:b/>
                <w:bCs/>
                <w:sz w:val="20"/>
                <w:szCs w:val="20"/>
              </w:rPr>
            </w:pPr>
          </w:p>
        </w:tc>
        <w:tc>
          <w:tcPr>
            <w:tcW w:w="1668" w:type="dxa"/>
            <w:vMerge/>
          </w:tcPr>
          <w:p w14:paraId="68F4173F" w14:textId="77777777" w:rsidR="00207FFE" w:rsidRPr="0080167D" w:rsidRDefault="00207FFE" w:rsidP="00333B7F">
            <w:pPr>
              <w:bidi/>
              <w:spacing w:after="0" w:line="240" w:lineRule="auto"/>
              <w:jc w:val="both"/>
              <w:rPr>
                <w:rFonts w:ascii="Arial" w:hAnsi="Arial" w:cs="Arial"/>
                <w:sz w:val="20"/>
                <w:szCs w:val="20"/>
              </w:rPr>
            </w:pPr>
          </w:p>
        </w:tc>
      </w:tr>
      <w:tr w:rsidR="00207FFE" w:rsidRPr="0080167D" w14:paraId="163FB409" w14:textId="77777777" w:rsidTr="00333B7F">
        <w:tc>
          <w:tcPr>
            <w:tcW w:w="3931" w:type="dxa"/>
            <w:vAlign w:val="center"/>
          </w:tcPr>
          <w:p w14:paraId="3E6FA225" w14:textId="41FB6FCE" w:rsidR="00207FFE" w:rsidRPr="00225DEA" w:rsidRDefault="00207FFE" w:rsidP="00333B7F">
            <w:pPr>
              <w:spacing w:after="0" w:line="240" w:lineRule="auto"/>
              <w:jc w:val="both"/>
              <w:rPr>
                <w:rFonts w:ascii="Arial" w:hAnsi="Arial" w:cs="Arial"/>
                <w:sz w:val="20"/>
                <w:szCs w:val="20"/>
              </w:rPr>
            </w:pPr>
            <w:r w:rsidRPr="00225DEA">
              <w:rPr>
                <w:rFonts w:ascii="Arial" w:hAnsi="Arial" w:cs="Arial"/>
                <w:sz w:val="20"/>
                <w:szCs w:val="20"/>
              </w:rPr>
              <w:t>Pourcentage de plaintes traitées dans un délai de moins de 21 jours calendaires</w:t>
            </w:r>
            <w:r w:rsidRPr="00225DEA">
              <w:rPr>
                <w:rFonts w:ascii="Arial" w:hAnsi="Arial" w:cs="Arial"/>
                <w:sz w:val="20"/>
                <w:szCs w:val="20"/>
              </w:rPr>
              <w:tab/>
            </w:r>
          </w:p>
          <w:p w14:paraId="662A40ED" w14:textId="77777777" w:rsidR="00207FFE" w:rsidRPr="0080167D" w:rsidRDefault="00207FFE" w:rsidP="00333B7F">
            <w:pPr>
              <w:spacing w:after="0" w:line="240" w:lineRule="auto"/>
              <w:jc w:val="both"/>
              <w:rPr>
                <w:rFonts w:ascii="Arial" w:hAnsi="Arial" w:cs="Arial"/>
                <w:sz w:val="20"/>
                <w:szCs w:val="20"/>
              </w:rPr>
            </w:pPr>
          </w:p>
        </w:tc>
        <w:tc>
          <w:tcPr>
            <w:tcW w:w="1418" w:type="dxa"/>
            <w:vAlign w:val="center"/>
          </w:tcPr>
          <w:p w14:paraId="7E09A5FD" w14:textId="64599EE5" w:rsidR="00207FFE" w:rsidRPr="0080167D" w:rsidRDefault="00207FFE" w:rsidP="00333B7F">
            <w:pPr>
              <w:spacing w:after="0" w:line="240" w:lineRule="auto"/>
              <w:jc w:val="center"/>
              <w:rPr>
                <w:rFonts w:ascii="Arial" w:hAnsi="Arial" w:cs="Arial"/>
                <w:sz w:val="20"/>
                <w:szCs w:val="20"/>
              </w:rPr>
            </w:pPr>
            <w:r>
              <w:rPr>
                <w:rFonts w:ascii="Arial" w:hAnsi="Arial" w:cs="Arial"/>
                <w:sz w:val="20"/>
                <w:szCs w:val="20"/>
              </w:rPr>
              <w:t>3-3</w:t>
            </w:r>
          </w:p>
        </w:tc>
        <w:tc>
          <w:tcPr>
            <w:tcW w:w="2551" w:type="dxa"/>
            <w:vMerge/>
            <w:vAlign w:val="center"/>
          </w:tcPr>
          <w:p w14:paraId="5331D3FE" w14:textId="77777777" w:rsidR="00207FFE" w:rsidRPr="0080167D" w:rsidRDefault="00207FFE" w:rsidP="00333B7F">
            <w:pPr>
              <w:bidi/>
              <w:spacing w:after="0" w:line="240" w:lineRule="auto"/>
              <w:jc w:val="center"/>
              <w:rPr>
                <w:rFonts w:ascii="Arial" w:hAnsi="Arial" w:cs="Arial"/>
                <w:sz w:val="20"/>
                <w:szCs w:val="20"/>
              </w:rPr>
            </w:pPr>
          </w:p>
        </w:tc>
        <w:tc>
          <w:tcPr>
            <w:tcW w:w="1668" w:type="dxa"/>
            <w:vMerge/>
          </w:tcPr>
          <w:p w14:paraId="399EA57E" w14:textId="77777777" w:rsidR="00207FFE" w:rsidRPr="0080167D" w:rsidRDefault="00207FFE" w:rsidP="00333B7F">
            <w:pPr>
              <w:bidi/>
              <w:spacing w:after="0" w:line="240" w:lineRule="auto"/>
              <w:jc w:val="both"/>
              <w:rPr>
                <w:rFonts w:ascii="Arial" w:hAnsi="Arial" w:cs="Arial"/>
                <w:sz w:val="20"/>
                <w:szCs w:val="20"/>
              </w:rPr>
            </w:pPr>
          </w:p>
        </w:tc>
      </w:tr>
    </w:tbl>
    <w:p w14:paraId="3FF6E557" w14:textId="77777777" w:rsidR="0080167D" w:rsidRDefault="0080167D" w:rsidP="00333B7F">
      <w:pPr>
        <w:spacing w:after="0" w:line="240" w:lineRule="auto"/>
        <w:ind w:left="284"/>
        <w:jc w:val="both"/>
        <w:rPr>
          <w:rFonts w:ascii="Arial" w:hAnsi="Arial" w:cs="Arial"/>
          <w:sz w:val="20"/>
          <w:szCs w:val="20"/>
        </w:rPr>
      </w:pPr>
    </w:p>
    <w:p w14:paraId="5DF6A7B1" w14:textId="77777777" w:rsidR="00225DEA" w:rsidRPr="0080167D" w:rsidRDefault="00225DEA" w:rsidP="00333B7F">
      <w:pPr>
        <w:spacing w:after="0" w:line="240" w:lineRule="auto"/>
        <w:ind w:left="284"/>
        <w:jc w:val="both"/>
        <w:rPr>
          <w:rFonts w:ascii="Arial" w:hAnsi="Arial" w:cs="Arial"/>
          <w:b/>
          <w:bCs/>
          <w:sz w:val="20"/>
          <w:szCs w:val="20"/>
        </w:rPr>
      </w:pPr>
      <w:r w:rsidRPr="0080167D">
        <w:rPr>
          <w:rFonts w:ascii="Arial" w:hAnsi="Arial" w:cs="Arial"/>
          <w:b/>
          <w:bCs/>
          <w:sz w:val="20"/>
          <w:szCs w:val="20"/>
        </w:rPr>
        <w:t>Domaine n° 2 : La gestion</w:t>
      </w:r>
    </w:p>
    <w:p w14:paraId="5A8C2570" w14:textId="77777777" w:rsidR="00225DEA" w:rsidRPr="00225DEA" w:rsidRDefault="00225DEA" w:rsidP="00333B7F">
      <w:pPr>
        <w:spacing w:after="0" w:line="240" w:lineRule="auto"/>
        <w:ind w:left="284"/>
        <w:jc w:val="both"/>
        <w:rPr>
          <w:rFonts w:ascii="Arial" w:hAnsi="Arial" w:cs="Arial"/>
          <w:sz w:val="20"/>
          <w:szCs w:val="20"/>
        </w:rPr>
      </w:pPr>
    </w:p>
    <w:tbl>
      <w:tblPr>
        <w:tblStyle w:val="Grilledutableau"/>
        <w:bidiVisual/>
        <w:tblW w:w="0" w:type="auto"/>
        <w:tblInd w:w="284" w:type="dxa"/>
        <w:tblLook w:val="04A0" w:firstRow="1" w:lastRow="0" w:firstColumn="1" w:lastColumn="0" w:noHBand="0" w:noVBand="1"/>
      </w:tblPr>
      <w:tblGrid>
        <w:gridCol w:w="3931"/>
        <w:gridCol w:w="1418"/>
        <w:gridCol w:w="2551"/>
        <w:gridCol w:w="1668"/>
      </w:tblGrid>
      <w:tr w:rsidR="00EB63C3" w:rsidRPr="00EB63C3" w14:paraId="148A0811" w14:textId="77777777" w:rsidTr="00333B7F">
        <w:tc>
          <w:tcPr>
            <w:tcW w:w="3931" w:type="dxa"/>
            <w:vAlign w:val="center"/>
          </w:tcPr>
          <w:p w14:paraId="20BC1945" w14:textId="77777777" w:rsidR="00EB63C3" w:rsidRPr="00EB63C3" w:rsidRDefault="00EB63C3" w:rsidP="00333B7F">
            <w:pPr>
              <w:bidi/>
              <w:spacing w:after="0" w:line="240" w:lineRule="auto"/>
              <w:jc w:val="center"/>
              <w:rPr>
                <w:rFonts w:ascii="Arial" w:hAnsi="Arial" w:cs="Arial"/>
                <w:b/>
                <w:bCs/>
                <w:sz w:val="20"/>
                <w:szCs w:val="20"/>
              </w:rPr>
            </w:pPr>
            <w:r w:rsidRPr="00EB63C3">
              <w:rPr>
                <w:rFonts w:ascii="Arial" w:hAnsi="Arial" w:cs="Arial"/>
                <w:b/>
                <w:bCs/>
                <w:sz w:val="20"/>
                <w:szCs w:val="20"/>
              </w:rPr>
              <w:t>Indicateur de performance</w:t>
            </w:r>
          </w:p>
        </w:tc>
        <w:tc>
          <w:tcPr>
            <w:tcW w:w="1418" w:type="dxa"/>
            <w:vAlign w:val="center"/>
          </w:tcPr>
          <w:p w14:paraId="6B2233C5" w14:textId="77777777" w:rsidR="00EB63C3" w:rsidRPr="00EB63C3" w:rsidRDefault="00EB63C3" w:rsidP="00333B7F">
            <w:pPr>
              <w:bidi/>
              <w:spacing w:after="0" w:line="240" w:lineRule="auto"/>
              <w:jc w:val="center"/>
              <w:rPr>
                <w:rFonts w:ascii="Arial" w:hAnsi="Arial" w:cs="Arial"/>
                <w:b/>
                <w:bCs/>
                <w:sz w:val="20"/>
                <w:szCs w:val="20"/>
              </w:rPr>
            </w:pPr>
            <w:r w:rsidRPr="00EB63C3">
              <w:rPr>
                <w:rFonts w:ascii="Arial" w:hAnsi="Arial" w:cs="Arial"/>
                <w:b/>
                <w:bCs/>
                <w:sz w:val="20"/>
                <w:szCs w:val="20"/>
              </w:rPr>
              <w:t>N° d’indicateur</w:t>
            </w:r>
          </w:p>
        </w:tc>
        <w:tc>
          <w:tcPr>
            <w:tcW w:w="2551" w:type="dxa"/>
            <w:vAlign w:val="center"/>
          </w:tcPr>
          <w:p w14:paraId="1A290641" w14:textId="77777777" w:rsidR="00EB63C3" w:rsidRPr="00EB63C3" w:rsidRDefault="00EB63C3" w:rsidP="00333B7F">
            <w:pPr>
              <w:bidi/>
              <w:spacing w:after="0" w:line="240" w:lineRule="auto"/>
              <w:jc w:val="center"/>
              <w:rPr>
                <w:rFonts w:ascii="Arial" w:hAnsi="Arial" w:cs="Arial"/>
                <w:b/>
                <w:bCs/>
                <w:sz w:val="20"/>
                <w:szCs w:val="20"/>
              </w:rPr>
            </w:pPr>
            <w:r w:rsidRPr="00EB63C3">
              <w:rPr>
                <w:rFonts w:ascii="Arial" w:hAnsi="Arial" w:cs="Arial"/>
                <w:b/>
                <w:bCs/>
                <w:sz w:val="20"/>
                <w:szCs w:val="20"/>
              </w:rPr>
              <w:t>Thème</w:t>
            </w:r>
          </w:p>
        </w:tc>
        <w:tc>
          <w:tcPr>
            <w:tcW w:w="1668" w:type="dxa"/>
            <w:vAlign w:val="center"/>
          </w:tcPr>
          <w:p w14:paraId="32E19E7E" w14:textId="77777777" w:rsidR="00EB63C3" w:rsidRPr="00EB63C3" w:rsidRDefault="00EB63C3" w:rsidP="00333B7F">
            <w:pPr>
              <w:bidi/>
              <w:spacing w:after="0" w:line="240" w:lineRule="auto"/>
              <w:jc w:val="center"/>
              <w:rPr>
                <w:rFonts w:ascii="Arial" w:hAnsi="Arial" w:cs="Arial"/>
                <w:b/>
                <w:bCs/>
                <w:sz w:val="20"/>
                <w:szCs w:val="20"/>
              </w:rPr>
            </w:pPr>
            <w:r w:rsidRPr="00EB63C3">
              <w:rPr>
                <w:rFonts w:ascii="Arial" w:hAnsi="Arial" w:cs="Arial"/>
                <w:b/>
                <w:bCs/>
                <w:sz w:val="20"/>
                <w:szCs w:val="20"/>
              </w:rPr>
              <w:t>Domaine</w:t>
            </w:r>
          </w:p>
        </w:tc>
      </w:tr>
      <w:tr w:rsidR="0030358C" w:rsidRPr="00EB63C3" w14:paraId="738EF4A5" w14:textId="77777777" w:rsidTr="00333B7F">
        <w:tc>
          <w:tcPr>
            <w:tcW w:w="3931" w:type="dxa"/>
          </w:tcPr>
          <w:p w14:paraId="20ECC71B" w14:textId="43944C93" w:rsidR="0030358C" w:rsidRPr="0030358C" w:rsidRDefault="0030358C" w:rsidP="00333B7F">
            <w:pPr>
              <w:spacing w:after="0" w:line="240" w:lineRule="auto"/>
              <w:jc w:val="both"/>
              <w:rPr>
                <w:rFonts w:ascii="Arial" w:hAnsi="Arial" w:cs="Arial"/>
                <w:sz w:val="20"/>
                <w:szCs w:val="20"/>
              </w:rPr>
            </w:pPr>
            <w:r w:rsidRPr="00225DEA">
              <w:rPr>
                <w:rFonts w:ascii="Arial" w:hAnsi="Arial" w:cs="Arial"/>
                <w:sz w:val="20"/>
                <w:szCs w:val="20"/>
              </w:rPr>
              <w:t>Elaboration et exécution d’un plan d’action annuel pour le renforcement des capacités de gestion (inclus dans le PARC)</w:t>
            </w:r>
          </w:p>
        </w:tc>
        <w:tc>
          <w:tcPr>
            <w:tcW w:w="1418" w:type="dxa"/>
            <w:vAlign w:val="center"/>
          </w:tcPr>
          <w:p w14:paraId="369F1B25" w14:textId="0A3218E1" w:rsidR="0030358C" w:rsidRPr="00333B7F" w:rsidRDefault="0030358C" w:rsidP="00333B7F">
            <w:pPr>
              <w:spacing w:after="0" w:line="240" w:lineRule="auto"/>
              <w:jc w:val="center"/>
              <w:rPr>
                <w:rFonts w:ascii="Arial" w:hAnsi="Arial" w:cs="Arial"/>
                <w:sz w:val="20"/>
                <w:szCs w:val="20"/>
              </w:rPr>
            </w:pPr>
            <w:r w:rsidRPr="00333B7F">
              <w:rPr>
                <w:rFonts w:ascii="Arial" w:hAnsi="Arial" w:cs="Arial"/>
                <w:sz w:val="20"/>
                <w:szCs w:val="20"/>
              </w:rPr>
              <w:t>4-1</w:t>
            </w:r>
          </w:p>
        </w:tc>
        <w:tc>
          <w:tcPr>
            <w:tcW w:w="2551" w:type="dxa"/>
            <w:vMerge w:val="restart"/>
            <w:vAlign w:val="center"/>
          </w:tcPr>
          <w:p w14:paraId="716E184C" w14:textId="23E1D116" w:rsidR="0030358C" w:rsidRPr="0030358C" w:rsidRDefault="0030358C" w:rsidP="00333B7F">
            <w:pPr>
              <w:pStyle w:val="Paragraphedeliste"/>
              <w:numPr>
                <w:ilvl w:val="0"/>
                <w:numId w:val="28"/>
              </w:numPr>
              <w:spacing w:after="0" w:line="240" w:lineRule="auto"/>
              <w:ind w:left="643"/>
              <w:rPr>
                <w:rFonts w:ascii="Arial" w:hAnsi="Arial" w:cs="Arial"/>
                <w:b/>
                <w:bCs/>
                <w:sz w:val="20"/>
                <w:szCs w:val="20"/>
              </w:rPr>
            </w:pPr>
            <w:r w:rsidRPr="0030358C">
              <w:rPr>
                <w:rFonts w:ascii="Arial" w:hAnsi="Arial" w:cs="Arial"/>
                <w:b/>
                <w:bCs/>
                <w:sz w:val="20"/>
                <w:szCs w:val="20"/>
              </w:rPr>
              <w:t>Gestion des ressources humaines</w:t>
            </w:r>
          </w:p>
          <w:p w14:paraId="10E12719" w14:textId="77777777" w:rsidR="0030358C" w:rsidRPr="00EB63C3" w:rsidRDefault="0030358C" w:rsidP="00333B7F">
            <w:pPr>
              <w:bidi/>
              <w:spacing w:after="0" w:line="240" w:lineRule="auto"/>
              <w:ind w:left="643"/>
              <w:rPr>
                <w:rFonts w:ascii="Arial" w:hAnsi="Arial" w:cs="Arial"/>
                <w:b/>
                <w:bCs/>
                <w:sz w:val="20"/>
                <w:szCs w:val="20"/>
              </w:rPr>
            </w:pPr>
          </w:p>
        </w:tc>
        <w:tc>
          <w:tcPr>
            <w:tcW w:w="1668" w:type="dxa"/>
            <w:vMerge w:val="restart"/>
            <w:vAlign w:val="bottom"/>
          </w:tcPr>
          <w:p w14:paraId="5952072F" w14:textId="69692449" w:rsidR="0030358C" w:rsidRDefault="0030358C" w:rsidP="00333B7F">
            <w:pPr>
              <w:bidi/>
              <w:spacing w:after="0" w:line="240" w:lineRule="auto"/>
              <w:jc w:val="both"/>
              <w:rPr>
                <w:rFonts w:ascii="Arial" w:hAnsi="Arial" w:cs="Arial"/>
                <w:b/>
                <w:bCs/>
                <w:sz w:val="20"/>
                <w:szCs w:val="20"/>
              </w:rPr>
            </w:pPr>
          </w:p>
          <w:p w14:paraId="14BB2FAB" w14:textId="77777777" w:rsidR="0030358C" w:rsidRDefault="0030358C" w:rsidP="00333B7F">
            <w:pPr>
              <w:bidi/>
              <w:spacing w:after="0" w:line="240" w:lineRule="auto"/>
              <w:jc w:val="both"/>
              <w:rPr>
                <w:rFonts w:ascii="Arial" w:hAnsi="Arial" w:cs="Arial"/>
                <w:b/>
                <w:bCs/>
                <w:sz w:val="20"/>
                <w:szCs w:val="20"/>
              </w:rPr>
            </w:pPr>
          </w:p>
          <w:p w14:paraId="6C206865" w14:textId="77777777" w:rsidR="0030358C" w:rsidRDefault="0030358C" w:rsidP="00333B7F">
            <w:pPr>
              <w:bidi/>
              <w:spacing w:after="0" w:line="240" w:lineRule="auto"/>
              <w:jc w:val="both"/>
              <w:rPr>
                <w:rFonts w:ascii="Arial" w:hAnsi="Arial" w:cs="Arial"/>
                <w:b/>
                <w:bCs/>
                <w:sz w:val="20"/>
                <w:szCs w:val="20"/>
              </w:rPr>
            </w:pPr>
          </w:p>
          <w:p w14:paraId="3251CA27" w14:textId="77777777" w:rsidR="0030358C" w:rsidRDefault="0030358C" w:rsidP="00333B7F">
            <w:pPr>
              <w:bidi/>
              <w:spacing w:after="0" w:line="240" w:lineRule="auto"/>
              <w:jc w:val="both"/>
              <w:rPr>
                <w:rFonts w:ascii="Arial" w:hAnsi="Arial" w:cs="Arial"/>
                <w:b/>
                <w:bCs/>
                <w:sz w:val="20"/>
                <w:szCs w:val="20"/>
              </w:rPr>
            </w:pPr>
          </w:p>
          <w:p w14:paraId="06C4FD88" w14:textId="77777777" w:rsidR="0030358C" w:rsidRDefault="0030358C" w:rsidP="00333B7F">
            <w:pPr>
              <w:bidi/>
              <w:spacing w:after="0" w:line="240" w:lineRule="auto"/>
              <w:jc w:val="both"/>
              <w:rPr>
                <w:rFonts w:ascii="Arial" w:hAnsi="Arial" w:cs="Arial"/>
                <w:b/>
                <w:bCs/>
                <w:sz w:val="20"/>
                <w:szCs w:val="20"/>
              </w:rPr>
            </w:pPr>
          </w:p>
          <w:p w14:paraId="4E3F0932" w14:textId="77777777" w:rsidR="0030358C" w:rsidRDefault="0030358C" w:rsidP="00333B7F">
            <w:pPr>
              <w:bidi/>
              <w:spacing w:after="0" w:line="240" w:lineRule="auto"/>
              <w:jc w:val="both"/>
              <w:rPr>
                <w:rFonts w:ascii="Arial" w:hAnsi="Arial" w:cs="Arial"/>
                <w:b/>
                <w:bCs/>
                <w:sz w:val="20"/>
                <w:szCs w:val="20"/>
              </w:rPr>
            </w:pPr>
          </w:p>
          <w:p w14:paraId="6350A53E" w14:textId="77777777" w:rsidR="0030358C" w:rsidRDefault="0030358C" w:rsidP="00333B7F">
            <w:pPr>
              <w:bidi/>
              <w:spacing w:after="0" w:line="240" w:lineRule="auto"/>
              <w:jc w:val="both"/>
              <w:rPr>
                <w:rFonts w:ascii="Arial" w:hAnsi="Arial" w:cs="Arial"/>
                <w:b/>
                <w:bCs/>
                <w:sz w:val="20"/>
                <w:szCs w:val="20"/>
              </w:rPr>
            </w:pPr>
          </w:p>
          <w:p w14:paraId="27E032D0" w14:textId="77777777" w:rsidR="0030358C" w:rsidRDefault="0030358C" w:rsidP="00333B7F">
            <w:pPr>
              <w:bidi/>
              <w:spacing w:after="0" w:line="240" w:lineRule="auto"/>
              <w:jc w:val="both"/>
              <w:rPr>
                <w:rFonts w:ascii="Arial" w:hAnsi="Arial" w:cs="Arial"/>
                <w:b/>
                <w:bCs/>
                <w:sz w:val="20"/>
                <w:szCs w:val="20"/>
              </w:rPr>
            </w:pPr>
          </w:p>
          <w:p w14:paraId="5F0A0FA1" w14:textId="77777777" w:rsidR="0030358C" w:rsidRDefault="0030358C" w:rsidP="00333B7F">
            <w:pPr>
              <w:bidi/>
              <w:spacing w:after="0" w:line="240" w:lineRule="auto"/>
              <w:jc w:val="both"/>
              <w:rPr>
                <w:rFonts w:ascii="Arial" w:hAnsi="Arial" w:cs="Arial"/>
                <w:b/>
                <w:bCs/>
                <w:sz w:val="20"/>
                <w:szCs w:val="20"/>
              </w:rPr>
            </w:pPr>
          </w:p>
          <w:p w14:paraId="20068AED" w14:textId="77777777" w:rsidR="0030358C" w:rsidRDefault="0030358C" w:rsidP="00333B7F">
            <w:pPr>
              <w:bidi/>
              <w:spacing w:after="0" w:line="240" w:lineRule="auto"/>
              <w:jc w:val="both"/>
              <w:rPr>
                <w:rFonts w:ascii="Arial" w:hAnsi="Arial" w:cs="Arial"/>
                <w:b/>
                <w:bCs/>
                <w:sz w:val="20"/>
                <w:szCs w:val="20"/>
              </w:rPr>
            </w:pPr>
          </w:p>
          <w:p w14:paraId="360C6E1B" w14:textId="77777777" w:rsidR="0030358C" w:rsidRDefault="0030358C" w:rsidP="00333B7F">
            <w:pPr>
              <w:bidi/>
              <w:spacing w:after="0" w:line="240" w:lineRule="auto"/>
              <w:jc w:val="both"/>
              <w:rPr>
                <w:rFonts w:ascii="Arial" w:hAnsi="Arial" w:cs="Arial"/>
                <w:b/>
                <w:bCs/>
                <w:sz w:val="20"/>
                <w:szCs w:val="20"/>
              </w:rPr>
            </w:pPr>
          </w:p>
          <w:p w14:paraId="15E8CAA4" w14:textId="77777777" w:rsidR="0030358C" w:rsidRDefault="0030358C" w:rsidP="00333B7F">
            <w:pPr>
              <w:bidi/>
              <w:spacing w:after="0" w:line="240" w:lineRule="auto"/>
              <w:jc w:val="both"/>
              <w:rPr>
                <w:rFonts w:ascii="Arial" w:hAnsi="Arial" w:cs="Arial"/>
                <w:b/>
                <w:bCs/>
                <w:sz w:val="20"/>
                <w:szCs w:val="20"/>
              </w:rPr>
            </w:pPr>
          </w:p>
          <w:p w14:paraId="1EB2BE56" w14:textId="77777777" w:rsidR="0030358C" w:rsidRDefault="0030358C" w:rsidP="00333B7F">
            <w:pPr>
              <w:bidi/>
              <w:spacing w:after="0" w:line="240" w:lineRule="auto"/>
              <w:jc w:val="both"/>
              <w:rPr>
                <w:rFonts w:ascii="Arial" w:hAnsi="Arial" w:cs="Arial"/>
                <w:b/>
                <w:bCs/>
                <w:sz w:val="20"/>
                <w:szCs w:val="20"/>
              </w:rPr>
            </w:pPr>
          </w:p>
          <w:p w14:paraId="4A3CAB07" w14:textId="77777777" w:rsidR="0030358C" w:rsidRDefault="0030358C" w:rsidP="00333B7F">
            <w:pPr>
              <w:bidi/>
              <w:spacing w:after="0" w:line="240" w:lineRule="auto"/>
              <w:jc w:val="both"/>
              <w:rPr>
                <w:rFonts w:ascii="Arial" w:hAnsi="Arial" w:cs="Arial"/>
                <w:b/>
                <w:bCs/>
                <w:sz w:val="20"/>
                <w:szCs w:val="20"/>
              </w:rPr>
            </w:pPr>
          </w:p>
          <w:p w14:paraId="147A17D1" w14:textId="77777777" w:rsidR="0030358C" w:rsidRDefault="0030358C" w:rsidP="00333B7F">
            <w:pPr>
              <w:bidi/>
              <w:spacing w:after="0" w:line="240" w:lineRule="auto"/>
              <w:jc w:val="both"/>
              <w:rPr>
                <w:rFonts w:ascii="Arial" w:hAnsi="Arial" w:cs="Arial"/>
                <w:b/>
                <w:bCs/>
                <w:sz w:val="20"/>
                <w:szCs w:val="20"/>
              </w:rPr>
            </w:pPr>
          </w:p>
          <w:p w14:paraId="2AF07276" w14:textId="77777777" w:rsidR="0030358C" w:rsidRDefault="0030358C" w:rsidP="00333B7F">
            <w:pPr>
              <w:bidi/>
              <w:spacing w:after="0" w:line="240" w:lineRule="auto"/>
              <w:jc w:val="both"/>
              <w:rPr>
                <w:rFonts w:ascii="Arial" w:hAnsi="Arial" w:cs="Arial"/>
                <w:b/>
                <w:bCs/>
                <w:sz w:val="20"/>
                <w:szCs w:val="20"/>
              </w:rPr>
            </w:pPr>
          </w:p>
          <w:p w14:paraId="6563E1EC" w14:textId="77777777" w:rsidR="0030358C" w:rsidRDefault="0030358C" w:rsidP="00333B7F">
            <w:pPr>
              <w:bidi/>
              <w:spacing w:after="0" w:line="240" w:lineRule="auto"/>
              <w:jc w:val="both"/>
              <w:rPr>
                <w:rFonts w:ascii="Arial" w:hAnsi="Arial" w:cs="Arial"/>
                <w:b/>
                <w:bCs/>
                <w:sz w:val="20"/>
                <w:szCs w:val="20"/>
              </w:rPr>
            </w:pPr>
          </w:p>
          <w:p w14:paraId="43DEF865" w14:textId="77777777" w:rsidR="0030358C" w:rsidRDefault="0030358C" w:rsidP="00333B7F">
            <w:pPr>
              <w:bidi/>
              <w:spacing w:after="0" w:line="240" w:lineRule="auto"/>
              <w:jc w:val="both"/>
              <w:rPr>
                <w:rFonts w:ascii="Arial" w:hAnsi="Arial" w:cs="Arial"/>
                <w:b/>
                <w:bCs/>
                <w:sz w:val="20"/>
                <w:szCs w:val="20"/>
              </w:rPr>
            </w:pPr>
          </w:p>
          <w:p w14:paraId="5BEC167A" w14:textId="77777777" w:rsidR="0030358C" w:rsidRDefault="0030358C" w:rsidP="00333B7F">
            <w:pPr>
              <w:bidi/>
              <w:spacing w:after="0" w:line="240" w:lineRule="auto"/>
              <w:jc w:val="both"/>
              <w:rPr>
                <w:rFonts w:ascii="Arial" w:hAnsi="Arial" w:cs="Arial"/>
                <w:b/>
                <w:bCs/>
                <w:sz w:val="20"/>
                <w:szCs w:val="20"/>
              </w:rPr>
            </w:pPr>
          </w:p>
          <w:p w14:paraId="0B2733B8" w14:textId="77777777" w:rsidR="0030358C" w:rsidRDefault="0030358C" w:rsidP="00333B7F">
            <w:pPr>
              <w:bidi/>
              <w:spacing w:after="0" w:line="240" w:lineRule="auto"/>
              <w:jc w:val="both"/>
              <w:rPr>
                <w:rFonts w:ascii="Arial" w:hAnsi="Arial" w:cs="Arial"/>
                <w:b/>
                <w:bCs/>
                <w:sz w:val="20"/>
                <w:szCs w:val="20"/>
              </w:rPr>
            </w:pPr>
          </w:p>
          <w:p w14:paraId="3AEA70D0" w14:textId="77777777" w:rsidR="0030358C" w:rsidRDefault="0030358C" w:rsidP="00333B7F">
            <w:pPr>
              <w:bidi/>
              <w:spacing w:after="0" w:line="240" w:lineRule="auto"/>
              <w:jc w:val="both"/>
              <w:rPr>
                <w:rFonts w:ascii="Arial" w:hAnsi="Arial" w:cs="Arial"/>
                <w:b/>
                <w:bCs/>
                <w:sz w:val="20"/>
                <w:szCs w:val="20"/>
              </w:rPr>
            </w:pPr>
          </w:p>
          <w:p w14:paraId="28A59697" w14:textId="5CD185AF" w:rsidR="0030358C" w:rsidRPr="00EB63C3" w:rsidRDefault="0030358C" w:rsidP="00333B7F">
            <w:pPr>
              <w:bidi/>
              <w:spacing w:after="0" w:line="240" w:lineRule="auto"/>
              <w:jc w:val="both"/>
              <w:rPr>
                <w:rFonts w:ascii="Arial" w:hAnsi="Arial" w:cs="Arial"/>
                <w:b/>
                <w:bCs/>
                <w:sz w:val="20"/>
                <w:szCs w:val="20"/>
              </w:rPr>
            </w:pPr>
            <w:r>
              <w:rPr>
                <w:rFonts w:ascii="Arial" w:hAnsi="Arial" w:cs="Arial"/>
                <w:b/>
                <w:bCs/>
                <w:sz w:val="20"/>
                <w:szCs w:val="20"/>
              </w:rPr>
              <w:t>Gestion</w:t>
            </w:r>
          </w:p>
        </w:tc>
      </w:tr>
      <w:tr w:rsidR="0030358C" w:rsidRPr="00EB63C3" w14:paraId="4C012949" w14:textId="77777777" w:rsidTr="00333B7F">
        <w:tc>
          <w:tcPr>
            <w:tcW w:w="3931" w:type="dxa"/>
          </w:tcPr>
          <w:p w14:paraId="4CCF5B2E" w14:textId="33E2A8F0" w:rsidR="0030358C" w:rsidRPr="00225DEA" w:rsidRDefault="0030358C" w:rsidP="00333B7F">
            <w:pPr>
              <w:spacing w:after="0" w:line="240" w:lineRule="auto"/>
              <w:jc w:val="both"/>
              <w:rPr>
                <w:rFonts w:ascii="Arial" w:hAnsi="Arial" w:cs="Arial"/>
                <w:sz w:val="20"/>
                <w:szCs w:val="20"/>
              </w:rPr>
            </w:pPr>
            <w:r w:rsidRPr="00225DEA">
              <w:rPr>
                <w:rFonts w:ascii="Arial" w:hAnsi="Arial" w:cs="Arial"/>
                <w:sz w:val="20"/>
                <w:szCs w:val="20"/>
              </w:rPr>
              <w:t>Disponibilité et révision périodique des arrêtés d’affectatio</w:t>
            </w:r>
            <w:r>
              <w:rPr>
                <w:rFonts w:ascii="Arial" w:hAnsi="Arial" w:cs="Arial"/>
                <w:sz w:val="20"/>
                <w:szCs w:val="20"/>
              </w:rPr>
              <w:t xml:space="preserve">n des agents administratifs </w:t>
            </w:r>
          </w:p>
          <w:p w14:paraId="4CC4CCEC" w14:textId="77777777" w:rsidR="0030358C" w:rsidRPr="0030358C" w:rsidRDefault="0030358C" w:rsidP="00333B7F">
            <w:pPr>
              <w:bidi/>
              <w:spacing w:after="0" w:line="240" w:lineRule="auto"/>
              <w:jc w:val="both"/>
              <w:rPr>
                <w:rFonts w:ascii="Arial" w:hAnsi="Arial" w:cs="Arial"/>
                <w:sz w:val="20"/>
                <w:szCs w:val="20"/>
              </w:rPr>
            </w:pPr>
          </w:p>
        </w:tc>
        <w:tc>
          <w:tcPr>
            <w:tcW w:w="1418" w:type="dxa"/>
            <w:vAlign w:val="center"/>
          </w:tcPr>
          <w:p w14:paraId="34F64929" w14:textId="3EF131AD" w:rsidR="0030358C" w:rsidRPr="00333B7F" w:rsidRDefault="0030358C" w:rsidP="00333B7F">
            <w:pPr>
              <w:spacing w:after="0" w:line="240" w:lineRule="auto"/>
              <w:jc w:val="center"/>
              <w:rPr>
                <w:rFonts w:ascii="Arial" w:hAnsi="Arial" w:cs="Arial"/>
                <w:sz w:val="20"/>
                <w:szCs w:val="20"/>
              </w:rPr>
            </w:pPr>
            <w:r w:rsidRPr="00333B7F">
              <w:rPr>
                <w:rFonts w:ascii="Arial" w:hAnsi="Arial" w:cs="Arial"/>
                <w:sz w:val="20"/>
                <w:szCs w:val="20"/>
              </w:rPr>
              <w:t>4-2</w:t>
            </w:r>
          </w:p>
        </w:tc>
        <w:tc>
          <w:tcPr>
            <w:tcW w:w="2551" w:type="dxa"/>
            <w:vMerge/>
            <w:vAlign w:val="center"/>
          </w:tcPr>
          <w:p w14:paraId="6761720C" w14:textId="025C3233" w:rsidR="0030358C" w:rsidRPr="0030358C" w:rsidRDefault="0030358C" w:rsidP="00333B7F">
            <w:pPr>
              <w:pStyle w:val="Paragraphedeliste"/>
              <w:numPr>
                <w:ilvl w:val="0"/>
                <w:numId w:val="28"/>
              </w:numPr>
              <w:spacing w:after="0" w:line="240" w:lineRule="auto"/>
              <w:ind w:left="643"/>
              <w:rPr>
                <w:rFonts w:ascii="Arial" w:hAnsi="Arial" w:cs="Arial"/>
                <w:b/>
                <w:bCs/>
                <w:sz w:val="20"/>
                <w:szCs w:val="20"/>
              </w:rPr>
            </w:pPr>
          </w:p>
        </w:tc>
        <w:tc>
          <w:tcPr>
            <w:tcW w:w="1668" w:type="dxa"/>
            <w:vMerge/>
            <w:vAlign w:val="center"/>
          </w:tcPr>
          <w:p w14:paraId="2061337E" w14:textId="49DDCB6A" w:rsidR="0030358C" w:rsidRPr="00EB63C3" w:rsidRDefault="0030358C" w:rsidP="00333B7F">
            <w:pPr>
              <w:bidi/>
              <w:spacing w:after="0" w:line="240" w:lineRule="auto"/>
              <w:jc w:val="both"/>
              <w:rPr>
                <w:rFonts w:ascii="Arial" w:hAnsi="Arial" w:cs="Arial"/>
                <w:b/>
                <w:bCs/>
                <w:sz w:val="20"/>
                <w:szCs w:val="20"/>
              </w:rPr>
            </w:pPr>
          </w:p>
        </w:tc>
      </w:tr>
      <w:tr w:rsidR="0030358C" w:rsidRPr="00EB63C3" w14:paraId="79941AA5" w14:textId="77777777" w:rsidTr="00333B7F">
        <w:tc>
          <w:tcPr>
            <w:tcW w:w="3931" w:type="dxa"/>
          </w:tcPr>
          <w:p w14:paraId="59DC9587" w14:textId="256637DF" w:rsidR="0030358C" w:rsidRPr="00225DEA" w:rsidRDefault="0030358C" w:rsidP="00333B7F">
            <w:pPr>
              <w:spacing w:after="0" w:line="240" w:lineRule="auto"/>
              <w:jc w:val="both"/>
              <w:rPr>
                <w:rFonts w:ascii="Arial" w:hAnsi="Arial" w:cs="Arial"/>
                <w:sz w:val="20"/>
                <w:szCs w:val="20"/>
              </w:rPr>
            </w:pPr>
            <w:r w:rsidRPr="00225DEA">
              <w:rPr>
                <w:rFonts w:ascii="Arial" w:hAnsi="Arial" w:cs="Arial"/>
                <w:sz w:val="20"/>
                <w:szCs w:val="20"/>
              </w:rPr>
              <w:t xml:space="preserve">Taux d’exécutions financières des dépenses du budget annuel </w:t>
            </w:r>
            <w:r w:rsidRPr="00225DEA">
              <w:rPr>
                <w:rFonts w:ascii="Arial" w:hAnsi="Arial" w:cs="Arial"/>
                <w:sz w:val="20"/>
                <w:szCs w:val="20"/>
              </w:rPr>
              <w:t>sous-titre</w:t>
            </w:r>
            <w:r w:rsidRPr="00225DEA">
              <w:rPr>
                <w:rFonts w:ascii="Arial" w:hAnsi="Arial" w:cs="Arial"/>
                <w:sz w:val="20"/>
                <w:szCs w:val="20"/>
              </w:rPr>
              <w:t xml:space="preserve"> I (y compris la période complémentaire) par rapport aux prévisions définitives </w:t>
            </w:r>
          </w:p>
          <w:p w14:paraId="342395FA" w14:textId="1D680CF5" w:rsidR="0030358C" w:rsidRPr="006B789C" w:rsidRDefault="0030358C" w:rsidP="00333B7F">
            <w:pPr>
              <w:spacing w:after="0" w:line="240" w:lineRule="auto"/>
              <w:jc w:val="both"/>
              <w:rPr>
                <w:rFonts w:ascii="Arial" w:hAnsi="Arial" w:cs="Arial"/>
                <w:b/>
                <w:bCs/>
                <w:sz w:val="20"/>
                <w:szCs w:val="20"/>
              </w:rPr>
            </w:pPr>
            <w:r w:rsidRPr="0030358C">
              <w:rPr>
                <w:rFonts w:ascii="Arial" w:hAnsi="Arial" w:cs="Arial"/>
                <w:b/>
                <w:bCs/>
                <w:sz w:val="20"/>
                <w:szCs w:val="20"/>
              </w:rPr>
              <w:t>Dépenses réa</w:t>
            </w:r>
            <w:r w:rsidRPr="0030358C">
              <w:rPr>
                <w:rFonts w:ascii="Arial" w:hAnsi="Arial" w:cs="Arial"/>
                <w:b/>
                <w:bCs/>
                <w:sz w:val="20"/>
                <w:szCs w:val="20"/>
              </w:rPr>
              <w:t>lisées / prévisions définitives</w:t>
            </w:r>
          </w:p>
        </w:tc>
        <w:tc>
          <w:tcPr>
            <w:tcW w:w="1418" w:type="dxa"/>
            <w:vAlign w:val="center"/>
          </w:tcPr>
          <w:p w14:paraId="543D655F" w14:textId="460B8DB1" w:rsidR="0030358C" w:rsidRPr="00333B7F" w:rsidRDefault="0030358C" w:rsidP="00333B7F">
            <w:pPr>
              <w:spacing w:after="0" w:line="240" w:lineRule="auto"/>
              <w:jc w:val="center"/>
              <w:rPr>
                <w:rFonts w:ascii="Arial" w:hAnsi="Arial" w:cs="Arial"/>
                <w:sz w:val="20"/>
                <w:szCs w:val="20"/>
              </w:rPr>
            </w:pPr>
            <w:r w:rsidRPr="00333B7F">
              <w:rPr>
                <w:rFonts w:ascii="Arial" w:hAnsi="Arial" w:cs="Arial"/>
                <w:sz w:val="20"/>
                <w:szCs w:val="20"/>
              </w:rPr>
              <w:t>5-1</w:t>
            </w:r>
          </w:p>
        </w:tc>
        <w:tc>
          <w:tcPr>
            <w:tcW w:w="2551" w:type="dxa"/>
            <w:vMerge w:val="restart"/>
            <w:vAlign w:val="center"/>
          </w:tcPr>
          <w:p w14:paraId="3BC5E008" w14:textId="77777777" w:rsidR="006B789C" w:rsidRDefault="006B789C" w:rsidP="00333B7F">
            <w:pPr>
              <w:pStyle w:val="Paragraphedeliste"/>
              <w:spacing w:after="0" w:line="240" w:lineRule="auto"/>
              <w:ind w:left="643"/>
              <w:rPr>
                <w:rFonts w:ascii="Arial" w:hAnsi="Arial" w:cs="Arial"/>
                <w:b/>
                <w:bCs/>
                <w:sz w:val="20"/>
                <w:szCs w:val="20"/>
              </w:rPr>
            </w:pPr>
          </w:p>
          <w:p w14:paraId="732E3DBE" w14:textId="25FE9231" w:rsidR="0030358C" w:rsidRPr="0030358C" w:rsidRDefault="0030358C" w:rsidP="00333B7F">
            <w:pPr>
              <w:pStyle w:val="Paragraphedeliste"/>
              <w:numPr>
                <w:ilvl w:val="0"/>
                <w:numId w:val="28"/>
              </w:numPr>
              <w:spacing w:after="0" w:line="240" w:lineRule="auto"/>
              <w:ind w:left="643"/>
              <w:rPr>
                <w:rFonts w:ascii="Arial" w:hAnsi="Arial" w:cs="Arial"/>
                <w:b/>
                <w:bCs/>
                <w:sz w:val="20"/>
                <w:szCs w:val="20"/>
              </w:rPr>
            </w:pPr>
            <w:r w:rsidRPr="0030358C">
              <w:rPr>
                <w:rFonts w:ascii="Arial" w:hAnsi="Arial" w:cs="Arial"/>
                <w:b/>
                <w:bCs/>
                <w:sz w:val="20"/>
                <w:szCs w:val="20"/>
              </w:rPr>
              <w:t>Gestion des ressources financières</w:t>
            </w:r>
          </w:p>
        </w:tc>
        <w:tc>
          <w:tcPr>
            <w:tcW w:w="1668" w:type="dxa"/>
            <w:vMerge/>
          </w:tcPr>
          <w:p w14:paraId="4BF7B97F" w14:textId="77777777" w:rsidR="0030358C" w:rsidRPr="00EB63C3" w:rsidRDefault="0030358C" w:rsidP="00333B7F">
            <w:pPr>
              <w:bidi/>
              <w:spacing w:after="0" w:line="240" w:lineRule="auto"/>
              <w:jc w:val="both"/>
              <w:rPr>
                <w:rFonts w:ascii="Arial" w:hAnsi="Arial" w:cs="Arial"/>
                <w:b/>
                <w:bCs/>
                <w:sz w:val="20"/>
                <w:szCs w:val="20"/>
              </w:rPr>
            </w:pPr>
          </w:p>
        </w:tc>
      </w:tr>
      <w:tr w:rsidR="0030358C" w:rsidRPr="00EB63C3" w14:paraId="0371CCF8" w14:textId="77777777" w:rsidTr="00333B7F">
        <w:tc>
          <w:tcPr>
            <w:tcW w:w="3931" w:type="dxa"/>
          </w:tcPr>
          <w:p w14:paraId="29FAF457" w14:textId="2467DD68" w:rsidR="0030358C" w:rsidRPr="00225DEA" w:rsidRDefault="0030358C" w:rsidP="00333B7F">
            <w:pPr>
              <w:spacing w:after="0" w:line="240" w:lineRule="auto"/>
              <w:jc w:val="both"/>
              <w:rPr>
                <w:rFonts w:ascii="Arial" w:hAnsi="Arial" w:cs="Arial"/>
                <w:sz w:val="20"/>
                <w:szCs w:val="20"/>
              </w:rPr>
            </w:pPr>
            <w:r w:rsidRPr="00225DEA">
              <w:rPr>
                <w:rFonts w:ascii="Arial" w:hAnsi="Arial" w:cs="Arial"/>
                <w:sz w:val="20"/>
                <w:szCs w:val="20"/>
              </w:rPr>
              <w:t>Taux d’exécution financière des dépenses du PAI (plan annuel d’investissement)</w:t>
            </w:r>
          </w:p>
          <w:p w14:paraId="231FF112" w14:textId="1F9E77D6" w:rsidR="0030358C" w:rsidRPr="006B789C" w:rsidRDefault="0030358C" w:rsidP="00333B7F">
            <w:pPr>
              <w:spacing w:after="0" w:line="240" w:lineRule="auto"/>
              <w:jc w:val="both"/>
              <w:rPr>
                <w:rFonts w:ascii="Arial" w:hAnsi="Arial" w:cs="Arial"/>
                <w:b/>
                <w:bCs/>
                <w:sz w:val="20"/>
                <w:szCs w:val="20"/>
              </w:rPr>
            </w:pPr>
            <w:r w:rsidRPr="0030358C">
              <w:rPr>
                <w:rFonts w:ascii="Arial" w:hAnsi="Arial" w:cs="Arial"/>
                <w:b/>
                <w:bCs/>
                <w:sz w:val="20"/>
                <w:szCs w:val="20"/>
              </w:rPr>
              <w:t>Dépenses engag</w:t>
            </w:r>
            <w:r w:rsidRPr="0030358C">
              <w:rPr>
                <w:rFonts w:ascii="Arial" w:hAnsi="Arial" w:cs="Arial"/>
                <w:b/>
                <w:bCs/>
                <w:sz w:val="20"/>
                <w:szCs w:val="20"/>
              </w:rPr>
              <w:t>ées / prévisions définitives</w:t>
            </w:r>
            <w:r w:rsidRPr="0030358C">
              <w:rPr>
                <w:rFonts w:ascii="Arial" w:hAnsi="Arial" w:cs="Arial"/>
                <w:b/>
                <w:bCs/>
                <w:sz w:val="20"/>
                <w:szCs w:val="20"/>
              </w:rPr>
              <w:tab/>
            </w:r>
          </w:p>
        </w:tc>
        <w:tc>
          <w:tcPr>
            <w:tcW w:w="1418" w:type="dxa"/>
            <w:vAlign w:val="center"/>
          </w:tcPr>
          <w:p w14:paraId="1B700599" w14:textId="4447A2F5" w:rsidR="0030358C" w:rsidRPr="00333B7F" w:rsidRDefault="0030358C" w:rsidP="00333B7F">
            <w:pPr>
              <w:spacing w:after="0" w:line="240" w:lineRule="auto"/>
              <w:jc w:val="center"/>
              <w:rPr>
                <w:rFonts w:ascii="Arial" w:hAnsi="Arial" w:cs="Arial"/>
                <w:sz w:val="20"/>
                <w:szCs w:val="20"/>
              </w:rPr>
            </w:pPr>
            <w:r w:rsidRPr="00333B7F">
              <w:rPr>
                <w:rFonts w:ascii="Arial" w:hAnsi="Arial" w:cs="Arial"/>
                <w:sz w:val="20"/>
                <w:szCs w:val="20"/>
              </w:rPr>
              <w:t>5-2</w:t>
            </w:r>
          </w:p>
        </w:tc>
        <w:tc>
          <w:tcPr>
            <w:tcW w:w="2551" w:type="dxa"/>
            <w:vMerge/>
            <w:vAlign w:val="center"/>
          </w:tcPr>
          <w:p w14:paraId="3393920E" w14:textId="77777777" w:rsidR="0030358C" w:rsidRPr="00EB63C3" w:rsidRDefault="0030358C" w:rsidP="00333B7F">
            <w:pPr>
              <w:pStyle w:val="Paragraphedeliste"/>
              <w:numPr>
                <w:ilvl w:val="0"/>
                <w:numId w:val="28"/>
              </w:numPr>
              <w:spacing w:after="0" w:line="240" w:lineRule="auto"/>
              <w:ind w:left="643"/>
              <w:rPr>
                <w:rFonts w:ascii="Arial" w:hAnsi="Arial" w:cs="Arial"/>
                <w:b/>
                <w:bCs/>
                <w:sz w:val="20"/>
                <w:szCs w:val="20"/>
              </w:rPr>
            </w:pPr>
          </w:p>
        </w:tc>
        <w:tc>
          <w:tcPr>
            <w:tcW w:w="1668" w:type="dxa"/>
            <w:vMerge/>
          </w:tcPr>
          <w:p w14:paraId="3F56E3E6" w14:textId="77777777" w:rsidR="0030358C" w:rsidRPr="00EB63C3" w:rsidRDefault="0030358C" w:rsidP="00333B7F">
            <w:pPr>
              <w:bidi/>
              <w:spacing w:after="0" w:line="240" w:lineRule="auto"/>
              <w:jc w:val="both"/>
              <w:rPr>
                <w:rFonts w:ascii="Arial" w:hAnsi="Arial" w:cs="Arial"/>
                <w:b/>
                <w:bCs/>
                <w:sz w:val="20"/>
                <w:szCs w:val="20"/>
              </w:rPr>
            </w:pPr>
          </w:p>
        </w:tc>
      </w:tr>
      <w:tr w:rsidR="0030358C" w:rsidRPr="00EB63C3" w14:paraId="1A90DB6E" w14:textId="77777777" w:rsidTr="00333B7F">
        <w:tc>
          <w:tcPr>
            <w:tcW w:w="3931" w:type="dxa"/>
          </w:tcPr>
          <w:p w14:paraId="36E097CD" w14:textId="4D5C62E7" w:rsidR="0030358C" w:rsidRPr="0030358C" w:rsidRDefault="0030358C" w:rsidP="00333B7F">
            <w:pPr>
              <w:spacing w:after="0" w:line="240" w:lineRule="auto"/>
              <w:jc w:val="both"/>
              <w:rPr>
                <w:rFonts w:ascii="Arial" w:hAnsi="Arial" w:cs="Arial"/>
                <w:sz w:val="20"/>
                <w:szCs w:val="20"/>
              </w:rPr>
            </w:pPr>
            <w:r w:rsidRPr="00225DEA">
              <w:rPr>
                <w:rFonts w:ascii="Arial" w:hAnsi="Arial" w:cs="Arial"/>
                <w:sz w:val="20"/>
                <w:szCs w:val="20"/>
              </w:rPr>
              <w:t>Tenue d’un tableau de bord permettant le suivi de l’exécution des marchés publics</w:t>
            </w:r>
            <w:r w:rsidRPr="00225DEA">
              <w:rPr>
                <w:rFonts w:ascii="Arial" w:hAnsi="Arial" w:cs="Arial"/>
                <w:sz w:val="20"/>
                <w:szCs w:val="20"/>
              </w:rPr>
              <w:tab/>
            </w:r>
          </w:p>
        </w:tc>
        <w:tc>
          <w:tcPr>
            <w:tcW w:w="1418" w:type="dxa"/>
            <w:vAlign w:val="center"/>
          </w:tcPr>
          <w:p w14:paraId="612C7388" w14:textId="0B435AD0" w:rsidR="0030358C" w:rsidRPr="00333B7F" w:rsidRDefault="0030358C" w:rsidP="00333B7F">
            <w:pPr>
              <w:spacing w:after="0" w:line="240" w:lineRule="auto"/>
              <w:jc w:val="center"/>
              <w:rPr>
                <w:rFonts w:ascii="Arial" w:hAnsi="Arial" w:cs="Arial"/>
                <w:sz w:val="20"/>
                <w:szCs w:val="20"/>
              </w:rPr>
            </w:pPr>
            <w:r w:rsidRPr="00333B7F">
              <w:rPr>
                <w:rFonts w:ascii="Arial" w:hAnsi="Arial" w:cs="Arial"/>
                <w:sz w:val="20"/>
                <w:szCs w:val="20"/>
              </w:rPr>
              <w:t>6-1</w:t>
            </w:r>
          </w:p>
        </w:tc>
        <w:tc>
          <w:tcPr>
            <w:tcW w:w="2551" w:type="dxa"/>
            <w:vMerge w:val="restart"/>
            <w:vAlign w:val="center"/>
          </w:tcPr>
          <w:p w14:paraId="01591402" w14:textId="2CD76239" w:rsidR="0030358C" w:rsidRPr="00EB63C3" w:rsidRDefault="0030358C" w:rsidP="00333B7F">
            <w:pPr>
              <w:pStyle w:val="Paragraphedeliste"/>
              <w:numPr>
                <w:ilvl w:val="0"/>
                <w:numId w:val="28"/>
              </w:numPr>
              <w:spacing w:after="0" w:line="240" w:lineRule="auto"/>
              <w:ind w:left="643"/>
              <w:rPr>
                <w:rFonts w:ascii="Arial" w:hAnsi="Arial" w:cs="Arial"/>
                <w:b/>
                <w:bCs/>
                <w:sz w:val="20"/>
                <w:szCs w:val="20"/>
              </w:rPr>
            </w:pPr>
            <w:r>
              <w:rPr>
                <w:rFonts w:ascii="Arial" w:hAnsi="Arial" w:cs="Arial"/>
                <w:b/>
                <w:bCs/>
                <w:sz w:val="20"/>
                <w:szCs w:val="20"/>
              </w:rPr>
              <w:t>Gestion des marchés publics</w:t>
            </w:r>
          </w:p>
        </w:tc>
        <w:tc>
          <w:tcPr>
            <w:tcW w:w="1668" w:type="dxa"/>
            <w:vMerge/>
          </w:tcPr>
          <w:p w14:paraId="51613DE8" w14:textId="77777777" w:rsidR="0030358C" w:rsidRPr="00EB63C3" w:rsidRDefault="0030358C" w:rsidP="00333B7F">
            <w:pPr>
              <w:bidi/>
              <w:spacing w:after="0" w:line="240" w:lineRule="auto"/>
              <w:jc w:val="both"/>
              <w:rPr>
                <w:rFonts w:ascii="Arial" w:hAnsi="Arial" w:cs="Arial"/>
                <w:b/>
                <w:bCs/>
                <w:sz w:val="20"/>
                <w:szCs w:val="20"/>
              </w:rPr>
            </w:pPr>
          </w:p>
        </w:tc>
      </w:tr>
      <w:tr w:rsidR="0030358C" w:rsidRPr="00EB63C3" w14:paraId="75729A15" w14:textId="77777777" w:rsidTr="00333B7F">
        <w:tc>
          <w:tcPr>
            <w:tcW w:w="3931" w:type="dxa"/>
          </w:tcPr>
          <w:p w14:paraId="646731B2" w14:textId="6C4B0863" w:rsidR="0030358C" w:rsidRPr="00225DEA" w:rsidRDefault="0030358C" w:rsidP="00333B7F">
            <w:pPr>
              <w:spacing w:after="0" w:line="240" w:lineRule="auto"/>
              <w:jc w:val="both"/>
              <w:rPr>
                <w:rFonts w:ascii="Arial" w:hAnsi="Arial" w:cs="Arial"/>
                <w:sz w:val="20"/>
                <w:szCs w:val="20"/>
              </w:rPr>
            </w:pPr>
            <w:r w:rsidRPr="00225DEA">
              <w:rPr>
                <w:rFonts w:ascii="Arial" w:hAnsi="Arial" w:cs="Arial"/>
                <w:sz w:val="20"/>
                <w:szCs w:val="20"/>
              </w:rPr>
              <w:t>Respect du calendrier d’exécution des marchés publics prévu dans le programme prévisionnel publié sur le site de l’observatoire national des marchés publics</w:t>
            </w:r>
            <w:r w:rsidRPr="00225DEA">
              <w:rPr>
                <w:rFonts w:ascii="Arial" w:hAnsi="Arial" w:cs="Arial"/>
                <w:sz w:val="20"/>
                <w:szCs w:val="20"/>
              </w:rPr>
              <w:tab/>
            </w:r>
          </w:p>
          <w:p w14:paraId="18129BE2" w14:textId="77777777" w:rsidR="0030358C" w:rsidRPr="0030358C" w:rsidRDefault="0030358C" w:rsidP="00333B7F">
            <w:pPr>
              <w:bidi/>
              <w:spacing w:after="0" w:line="240" w:lineRule="auto"/>
              <w:jc w:val="both"/>
              <w:rPr>
                <w:rFonts w:ascii="Arial" w:hAnsi="Arial" w:cs="Arial"/>
                <w:sz w:val="20"/>
                <w:szCs w:val="20"/>
              </w:rPr>
            </w:pPr>
          </w:p>
        </w:tc>
        <w:tc>
          <w:tcPr>
            <w:tcW w:w="1418" w:type="dxa"/>
            <w:vAlign w:val="center"/>
          </w:tcPr>
          <w:p w14:paraId="1CF2F0B0" w14:textId="31FF8DD1" w:rsidR="0030358C" w:rsidRPr="00333B7F" w:rsidRDefault="0030358C" w:rsidP="00333B7F">
            <w:pPr>
              <w:spacing w:after="0" w:line="240" w:lineRule="auto"/>
              <w:jc w:val="center"/>
              <w:rPr>
                <w:rFonts w:ascii="Arial" w:hAnsi="Arial" w:cs="Arial"/>
                <w:sz w:val="20"/>
                <w:szCs w:val="20"/>
              </w:rPr>
            </w:pPr>
            <w:r w:rsidRPr="00333B7F">
              <w:rPr>
                <w:rFonts w:ascii="Arial" w:hAnsi="Arial" w:cs="Arial"/>
                <w:sz w:val="20"/>
                <w:szCs w:val="20"/>
              </w:rPr>
              <w:t>6-2</w:t>
            </w:r>
          </w:p>
        </w:tc>
        <w:tc>
          <w:tcPr>
            <w:tcW w:w="2551" w:type="dxa"/>
            <w:vMerge/>
            <w:vAlign w:val="center"/>
          </w:tcPr>
          <w:p w14:paraId="2F0863A2" w14:textId="77777777" w:rsidR="0030358C" w:rsidRPr="00EB63C3" w:rsidRDefault="0030358C" w:rsidP="00333B7F">
            <w:pPr>
              <w:bidi/>
              <w:spacing w:after="0" w:line="240" w:lineRule="auto"/>
              <w:jc w:val="center"/>
              <w:rPr>
                <w:rFonts w:ascii="Arial" w:hAnsi="Arial" w:cs="Arial"/>
                <w:b/>
                <w:bCs/>
                <w:sz w:val="20"/>
                <w:szCs w:val="20"/>
              </w:rPr>
            </w:pPr>
          </w:p>
        </w:tc>
        <w:tc>
          <w:tcPr>
            <w:tcW w:w="1668" w:type="dxa"/>
            <w:vMerge/>
          </w:tcPr>
          <w:p w14:paraId="6FE31391" w14:textId="77777777" w:rsidR="0030358C" w:rsidRPr="00EB63C3" w:rsidRDefault="0030358C" w:rsidP="00333B7F">
            <w:pPr>
              <w:bidi/>
              <w:spacing w:after="0" w:line="240" w:lineRule="auto"/>
              <w:jc w:val="both"/>
              <w:rPr>
                <w:rFonts w:ascii="Arial" w:hAnsi="Arial" w:cs="Arial"/>
                <w:b/>
                <w:bCs/>
                <w:sz w:val="20"/>
                <w:szCs w:val="20"/>
              </w:rPr>
            </w:pPr>
          </w:p>
        </w:tc>
      </w:tr>
      <w:tr w:rsidR="0030358C" w:rsidRPr="00EB63C3" w14:paraId="5FC7388F" w14:textId="77777777" w:rsidTr="00333B7F">
        <w:tc>
          <w:tcPr>
            <w:tcW w:w="3931" w:type="dxa"/>
          </w:tcPr>
          <w:p w14:paraId="0FAD079C" w14:textId="158DC151" w:rsidR="0030358C" w:rsidRPr="0030358C" w:rsidRDefault="0030358C" w:rsidP="00333B7F">
            <w:pPr>
              <w:spacing w:after="0" w:line="240" w:lineRule="auto"/>
              <w:jc w:val="both"/>
              <w:rPr>
                <w:rFonts w:ascii="Arial" w:hAnsi="Arial" w:cs="Arial"/>
                <w:sz w:val="20"/>
                <w:szCs w:val="20"/>
              </w:rPr>
            </w:pPr>
            <w:r w:rsidRPr="00225DEA">
              <w:rPr>
                <w:rFonts w:ascii="Arial" w:hAnsi="Arial" w:cs="Arial"/>
                <w:sz w:val="20"/>
                <w:szCs w:val="20"/>
              </w:rPr>
              <w:t xml:space="preserve">Paiement des biens et des services dans un délai de moins de 45 jours calendaires, à partir de la présentation du dossier de paiement </w:t>
            </w:r>
          </w:p>
        </w:tc>
        <w:tc>
          <w:tcPr>
            <w:tcW w:w="1418" w:type="dxa"/>
            <w:vAlign w:val="center"/>
          </w:tcPr>
          <w:p w14:paraId="7C09B16D" w14:textId="33F063DE" w:rsidR="0030358C" w:rsidRPr="00333B7F" w:rsidRDefault="0030358C" w:rsidP="00333B7F">
            <w:pPr>
              <w:spacing w:after="0" w:line="240" w:lineRule="auto"/>
              <w:jc w:val="center"/>
              <w:rPr>
                <w:rFonts w:ascii="Arial" w:hAnsi="Arial" w:cs="Arial"/>
                <w:sz w:val="20"/>
                <w:szCs w:val="20"/>
              </w:rPr>
            </w:pPr>
            <w:r w:rsidRPr="00333B7F">
              <w:rPr>
                <w:rFonts w:ascii="Arial" w:hAnsi="Arial" w:cs="Arial"/>
                <w:sz w:val="20"/>
                <w:szCs w:val="20"/>
              </w:rPr>
              <w:t>6-3</w:t>
            </w:r>
          </w:p>
        </w:tc>
        <w:tc>
          <w:tcPr>
            <w:tcW w:w="2551" w:type="dxa"/>
            <w:vMerge/>
            <w:vAlign w:val="center"/>
          </w:tcPr>
          <w:p w14:paraId="1AE8A6EC" w14:textId="77777777" w:rsidR="0030358C" w:rsidRPr="00EB63C3" w:rsidRDefault="0030358C" w:rsidP="00333B7F">
            <w:pPr>
              <w:bidi/>
              <w:spacing w:after="0" w:line="240" w:lineRule="auto"/>
              <w:jc w:val="center"/>
              <w:rPr>
                <w:rFonts w:ascii="Arial" w:hAnsi="Arial" w:cs="Arial"/>
                <w:b/>
                <w:bCs/>
                <w:sz w:val="20"/>
                <w:szCs w:val="20"/>
              </w:rPr>
            </w:pPr>
          </w:p>
        </w:tc>
        <w:tc>
          <w:tcPr>
            <w:tcW w:w="1668" w:type="dxa"/>
            <w:vMerge/>
          </w:tcPr>
          <w:p w14:paraId="6A587D2E" w14:textId="77777777" w:rsidR="0030358C" w:rsidRPr="00EB63C3" w:rsidRDefault="0030358C" w:rsidP="00333B7F">
            <w:pPr>
              <w:bidi/>
              <w:spacing w:after="0" w:line="240" w:lineRule="auto"/>
              <w:jc w:val="both"/>
              <w:rPr>
                <w:rFonts w:ascii="Arial" w:hAnsi="Arial" w:cs="Arial"/>
                <w:b/>
                <w:bCs/>
                <w:sz w:val="20"/>
                <w:szCs w:val="20"/>
              </w:rPr>
            </w:pPr>
          </w:p>
        </w:tc>
      </w:tr>
      <w:tr w:rsidR="0030358C" w:rsidRPr="00EB63C3" w14:paraId="7BD70916" w14:textId="77777777" w:rsidTr="00333B7F">
        <w:tc>
          <w:tcPr>
            <w:tcW w:w="3931" w:type="dxa"/>
          </w:tcPr>
          <w:p w14:paraId="2B6E0874" w14:textId="08F1511A" w:rsidR="0030358C" w:rsidRPr="00225DEA" w:rsidRDefault="0030358C" w:rsidP="00333B7F">
            <w:pPr>
              <w:spacing w:after="0" w:line="240" w:lineRule="auto"/>
              <w:jc w:val="both"/>
              <w:rPr>
                <w:rFonts w:ascii="Arial" w:hAnsi="Arial" w:cs="Arial"/>
                <w:sz w:val="20"/>
                <w:szCs w:val="20"/>
              </w:rPr>
            </w:pPr>
            <w:r w:rsidRPr="00225DEA">
              <w:rPr>
                <w:rFonts w:ascii="Arial" w:hAnsi="Arial" w:cs="Arial"/>
                <w:sz w:val="20"/>
                <w:szCs w:val="20"/>
              </w:rPr>
              <w:t>Respect des délais légaux de règlement dé</w:t>
            </w:r>
            <w:r>
              <w:rPr>
                <w:rFonts w:ascii="Arial" w:hAnsi="Arial" w:cs="Arial"/>
                <w:sz w:val="20"/>
                <w:szCs w:val="20"/>
              </w:rPr>
              <w:t>finitif des marchés publics</w:t>
            </w:r>
          </w:p>
        </w:tc>
        <w:tc>
          <w:tcPr>
            <w:tcW w:w="1418" w:type="dxa"/>
            <w:vAlign w:val="center"/>
          </w:tcPr>
          <w:p w14:paraId="374718BE" w14:textId="2834066E" w:rsidR="0030358C" w:rsidRPr="00333B7F" w:rsidRDefault="0030358C" w:rsidP="00333B7F">
            <w:pPr>
              <w:spacing w:after="0" w:line="240" w:lineRule="auto"/>
              <w:jc w:val="center"/>
              <w:rPr>
                <w:rFonts w:ascii="Arial" w:hAnsi="Arial" w:cs="Arial"/>
                <w:sz w:val="20"/>
                <w:szCs w:val="20"/>
              </w:rPr>
            </w:pPr>
            <w:r w:rsidRPr="00333B7F">
              <w:rPr>
                <w:rFonts w:ascii="Arial" w:hAnsi="Arial" w:cs="Arial"/>
                <w:sz w:val="20"/>
                <w:szCs w:val="20"/>
              </w:rPr>
              <w:t>6-4</w:t>
            </w:r>
          </w:p>
        </w:tc>
        <w:tc>
          <w:tcPr>
            <w:tcW w:w="2551" w:type="dxa"/>
            <w:vMerge/>
            <w:vAlign w:val="center"/>
          </w:tcPr>
          <w:p w14:paraId="3D8CF941" w14:textId="77777777" w:rsidR="0030358C" w:rsidRPr="00EB63C3" w:rsidRDefault="0030358C" w:rsidP="00333B7F">
            <w:pPr>
              <w:bidi/>
              <w:spacing w:after="0" w:line="240" w:lineRule="auto"/>
              <w:jc w:val="center"/>
              <w:rPr>
                <w:rFonts w:ascii="Arial" w:hAnsi="Arial" w:cs="Arial"/>
                <w:b/>
                <w:bCs/>
                <w:sz w:val="20"/>
                <w:szCs w:val="20"/>
              </w:rPr>
            </w:pPr>
          </w:p>
        </w:tc>
        <w:tc>
          <w:tcPr>
            <w:tcW w:w="1668" w:type="dxa"/>
            <w:vMerge/>
          </w:tcPr>
          <w:p w14:paraId="64431059" w14:textId="77777777" w:rsidR="0030358C" w:rsidRPr="00EB63C3" w:rsidRDefault="0030358C" w:rsidP="00333B7F">
            <w:pPr>
              <w:bidi/>
              <w:spacing w:after="0" w:line="240" w:lineRule="auto"/>
              <w:jc w:val="both"/>
              <w:rPr>
                <w:rFonts w:ascii="Arial" w:hAnsi="Arial" w:cs="Arial"/>
                <w:b/>
                <w:bCs/>
                <w:sz w:val="20"/>
                <w:szCs w:val="20"/>
              </w:rPr>
            </w:pPr>
          </w:p>
        </w:tc>
      </w:tr>
    </w:tbl>
    <w:p w14:paraId="796B090F" w14:textId="77777777" w:rsidR="00225DEA" w:rsidRPr="00225DEA" w:rsidRDefault="00225DEA" w:rsidP="00333B7F">
      <w:pPr>
        <w:spacing w:after="0" w:line="240" w:lineRule="auto"/>
        <w:ind w:left="284"/>
        <w:jc w:val="both"/>
        <w:rPr>
          <w:rFonts w:ascii="Arial" w:hAnsi="Arial" w:cs="Arial"/>
          <w:sz w:val="20"/>
          <w:szCs w:val="20"/>
        </w:rPr>
      </w:pPr>
    </w:p>
    <w:p w14:paraId="1A478999" w14:textId="6EEF362D" w:rsidR="00225DEA" w:rsidRPr="006B789C" w:rsidRDefault="006B789C" w:rsidP="00333B7F">
      <w:pPr>
        <w:spacing w:after="0" w:line="240" w:lineRule="auto"/>
        <w:ind w:left="284"/>
        <w:jc w:val="both"/>
        <w:rPr>
          <w:rFonts w:ascii="Arial" w:hAnsi="Arial" w:cs="Arial"/>
          <w:b/>
          <w:bCs/>
          <w:sz w:val="20"/>
          <w:szCs w:val="20"/>
        </w:rPr>
      </w:pPr>
      <w:r w:rsidRPr="006B789C">
        <w:rPr>
          <w:rFonts w:ascii="Arial" w:hAnsi="Arial" w:cs="Arial"/>
          <w:b/>
          <w:bCs/>
          <w:sz w:val="20"/>
          <w:szCs w:val="20"/>
        </w:rPr>
        <w:t xml:space="preserve">Domaine n° 3 – </w:t>
      </w:r>
      <w:r w:rsidR="00225DEA" w:rsidRPr="006B789C">
        <w:rPr>
          <w:rFonts w:ascii="Arial" w:hAnsi="Arial" w:cs="Arial"/>
          <w:b/>
          <w:bCs/>
          <w:sz w:val="20"/>
          <w:szCs w:val="20"/>
        </w:rPr>
        <w:t>La pérennité</w:t>
      </w:r>
    </w:p>
    <w:p w14:paraId="457683E1" w14:textId="77777777" w:rsidR="00225DEA" w:rsidRPr="00225DEA" w:rsidRDefault="00225DEA" w:rsidP="00333B7F">
      <w:pPr>
        <w:spacing w:after="0" w:line="240" w:lineRule="auto"/>
        <w:ind w:left="284"/>
        <w:jc w:val="both"/>
        <w:rPr>
          <w:rFonts w:ascii="Arial" w:hAnsi="Arial" w:cs="Arial"/>
          <w:sz w:val="20"/>
          <w:szCs w:val="20"/>
        </w:rPr>
      </w:pPr>
    </w:p>
    <w:tbl>
      <w:tblPr>
        <w:tblStyle w:val="Grilledutableau"/>
        <w:tblW w:w="0" w:type="auto"/>
        <w:tblInd w:w="-34" w:type="dxa"/>
        <w:tblLayout w:type="fixed"/>
        <w:tblLook w:val="04A0" w:firstRow="1" w:lastRow="0" w:firstColumn="1" w:lastColumn="0" w:noHBand="0" w:noVBand="1"/>
      </w:tblPr>
      <w:tblGrid>
        <w:gridCol w:w="1418"/>
        <w:gridCol w:w="2790"/>
        <w:gridCol w:w="1453"/>
        <w:gridCol w:w="3979"/>
        <w:gridCol w:w="14"/>
      </w:tblGrid>
      <w:tr w:rsidR="006B789C" w:rsidRPr="006B789C" w14:paraId="72A404C3" w14:textId="77777777" w:rsidTr="00DC7E44">
        <w:trPr>
          <w:gridAfter w:val="1"/>
          <w:wAfter w:w="14" w:type="dxa"/>
        </w:trPr>
        <w:tc>
          <w:tcPr>
            <w:tcW w:w="1418" w:type="dxa"/>
            <w:vAlign w:val="center"/>
          </w:tcPr>
          <w:p w14:paraId="51219644" w14:textId="5422A00C" w:rsidR="006B789C" w:rsidRPr="006B789C" w:rsidRDefault="006B789C" w:rsidP="00333B7F">
            <w:pPr>
              <w:spacing w:after="0" w:line="240" w:lineRule="auto"/>
              <w:jc w:val="center"/>
              <w:rPr>
                <w:rFonts w:ascii="Arial" w:hAnsi="Arial" w:cs="Arial"/>
                <w:b/>
                <w:bCs/>
                <w:sz w:val="20"/>
                <w:szCs w:val="20"/>
              </w:rPr>
            </w:pPr>
            <w:r w:rsidRPr="006B789C">
              <w:rPr>
                <w:b/>
                <w:bCs/>
              </w:rPr>
              <w:t>Domaine</w:t>
            </w:r>
          </w:p>
        </w:tc>
        <w:tc>
          <w:tcPr>
            <w:tcW w:w="2790" w:type="dxa"/>
            <w:vAlign w:val="center"/>
          </w:tcPr>
          <w:p w14:paraId="108E7F1B" w14:textId="4F62DBA1" w:rsidR="006B789C" w:rsidRPr="006B789C" w:rsidRDefault="006B789C" w:rsidP="00333B7F">
            <w:pPr>
              <w:spacing w:after="0" w:line="240" w:lineRule="auto"/>
              <w:jc w:val="center"/>
              <w:rPr>
                <w:rFonts w:ascii="Arial" w:hAnsi="Arial" w:cs="Arial"/>
                <w:b/>
                <w:bCs/>
                <w:sz w:val="20"/>
                <w:szCs w:val="20"/>
              </w:rPr>
            </w:pPr>
            <w:r w:rsidRPr="006B789C">
              <w:rPr>
                <w:b/>
                <w:bCs/>
              </w:rPr>
              <w:t>Thème</w:t>
            </w:r>
          </w:p>
        </w:tc>
        <w:tc>
          <w:tcPr>
            <w:tcW w:w="1453" w:type="dxa"/>
            <w:vAlign w:val="center"/>
          </w:tcPr>
          <w:p w14:paraId="45AEDE77" w14:textId="1E907F37" w:rsidR="006B789C" w:rsidRPr="006B789C" w:rsidRDefault="006B789C" w:rsidP="00333B7F">
            <w:pPr>
              <w:spacing w:after="0" w:line="240" w:lineRule="auto"/>
              <w:jc w:val="center"/>
              <w:rPr>
                <w:rFonts w:ascii="Arial" w:hAnsi="Arial" w:cs="Arial"/>
                <w:b/>
                <w:bCs/>
                <w:sz w:val="20"/>
                <w:szCs w:val="20"/>
              </w:rPr>
            </w:pPr>
            <w:r w:rsidRPr="006B789C">
              <w:rPr>
                <w:b/>
                <w:bCs/>
              </w:rPr>
              <w:t>N° d’indicateur</w:t>
            </w:r>
          </w:p>
        </w:tc>
        <w:tc>
          <w:tcPr>
            <w:tcW w:w="3979" w:type="dxa"/>
            <w:vAlign w:val="center"/>
          </w:tcPr>
          <w:p w14:paraId="609942C9" w14:textId="286D1EA6" w:rsidR="006B789C" w:rsidRPr="006B789C" w:rsidRDefault="006B789C" w:rsidP="00333B7F">
            <w:pPr>
              <w:spacing w:after="0" w:line="240" w:lineRule="auto"/>
              <w:jc w:val="center"/>
              <w:rPr>
                <w:rFonts w:ascii="Arial" w:hAnsi="Arial" w:cs="Arial"/>
                <w:b/>
                <w:bCs/>
                <w:sz w:val="20"/>
                <w:szCs w:val="20"/>
              </w:rPr>
            </w:pPr>
            <w:r w:rsidRPr="006B789C">
              <w:rPr>
                <w:b/>
                <w:bCs/>
              </w:rPr>
              <w:t>Indicateur de performance</w:t>
            </w:r>
          </w:p>
        </w:tc>
      </w:tr>
      <w:tr w:rsidR="006B789C" w:rsidRPr="006B789C" w14:paraId="219E94E6" w14:textId="77777777" w:rsidTr="00DC7E44">
        <w:tc>
          <w:tcPr>
            <w:tcW w:w="1418" w:type="dxa"/>
            <w:vMerge w:val="restart"/>
            <w:vAlign w:val="center"/>
          </w:tcPr>
          <w:p w14:paraId="1AFF57EC" w14:textId="760AB001" w:rsidR="006B789C" w:rsidRPr="006B789C" w:rsidRDefault="006B789C" w:rsidP="00333B7F">
            <w:pPr>
              <w:spacing w:after="0" w:line="240" w:lineRule="auto"/>
              <w:jc w:val="both"/>
              <w:rPr>
                <w:rFonts w:ascii="Arial" w:hAnsi="Arial" w:cs="Arial"/>
                <w:b/>
                <w:bCs/>
                <w:sz w:val="20"/>
                <w:szCs w:val="20"/>
              </w:rPr>
            </w:pPr>
            <w:r>
              <w:rPr>
                <w:rFonts w:ascii="Arial" w:hAnsi="Arial" w:cs="Arial"/>
                <w:b/>
                <w:bCs/>
                <w:sz w:val="20"/>
                <w:szCs w:val="20"/>
              </w:rPr>
              <w:t>Pérennité</w:t>
            </w:r>
          </w:p>
        </w:tc>
        <w:tc>
          <w:tcPr>
            <w:tcW w:w="2790" w:type="dxa"/>
            <w:vMerge w:val="restart"/>
            <w:vAlign w:val="center"/>
          </w:tcPr>
          <w:p w14:paraId="50DCC862" w14:textId="404BBA8C" w:rsidR="006B789C" w:rsidRPr="006B789C" w:rsidRDefault="006B789C" w:rsidP="00333B7F">
            <w:pPr>
              <w:pStyle w:val="Paragraphedeliste"/>
              <w:numPr>
                <w:ilvl w:val="0"/>
                <w:numId w:val="28"/>
              </w:numPr>
              <w:spacing w:after="0" w:line="240" w:lineRule="auto"/>
              <w:ind w:left="643"/>
              <w:jc w:val="center"/>
              <w:rPr>
                <w:rFonts w:ascii="Arial" w:hAnsi="Arial" w:cs="Arial"/>
                <w:b/>
                <w:bCs/>
                <w:sz w:val="20"/>
                <w:szCs w:val="20"/>
              </w:rPr>
            </w:pPr>
            <w:r w:rsidRPr="006B789C">
              <w:rPr>
                <w:rFonts w:ascii="Arial" w:hAnsi="Arial" w:cs="Arial"/>
                <w:b/>
                <w:bCs/>
                <w:sz w:val="20"/>
                <w:szCs w:val="20"/>
              </w:rPr>
              <w:t>Entretien et maintenance des biens des collectivités locales</w:t>
            </w:r>
            <w:r w:rsidRPr="006B789C">
              <w:rPr>
                <w:rFonts w:ascii="Arial" w:hAnsi="Arial" w:cs="Arial"/>
                <w:b/>
                <w:bCs/>
                <w:sz w:val="20"/>
                <w:szCs w:val="20"/>
              </w:rPr>
              <w:tab/>
              <w:t>Pérennité</w:t>
            </w:r>
          </w:p>
        </w:tc>
        <w:tc>
          <w:tcPr>
            <w:tcW w:w="1453" w:type="dxa"/>
            <w:vAlign w:val="center"/>
          </w:tcPr>
          <w:p w14:paraId="410034AA" w14:textId="143E956B" w:rsidR="006B789C" w:rsidRPr="00333B7F" w:rsidRDefault="006B789C" w:rsidP="00333B7F">
            <w:pPr>
              <w:spacing w:after="0" w:line="240" w:lineRule="auto"/>
              <w:jc w:val="center"/>
              <w:rPr>
                <w:rFonts w:ascii="Arial" w:hAnsi="Arial" w:cs="Arial"/>
                <w:sz w:val="20"/>
                <w:szCs w:val="20"/>
              </w:rPr>
            </w:pPr>
            <w:r w:rsidRPr="00333B7F">
              <w:rPr>
                <w:rFonts w:ascii="Arial" w:hAnsi="Arial" w:cs="Arial"/>
                <w:sz w:val="20"/>
                <w:szCs w:val="20"/>
              </w:rPr>
              <w:t>7-1</w:t>
            </w:r>
          </w:p>
        </w:tc>
        <w:tc>
          <w:tcPr>
            <w:tcW w:w="3993" w:type="dxa"/>
            <w:gridSpan w:val="2"/>
          </w:tcPr>
          <w:p w14:paraId="73733B0D" w14:textId="3E683F28" w:rsidR="006B789C" w:rsidRPr="00225DEA" w:rsidRDefault="006B789C" w:rsidP="00333B7F">
            <w:pPr>
              <w:spacing w:after="0" w:line="240" w:lineRule="auto"/>
              <w:jc w:val="both"/>
              <w:rPr>
                <w:rFonts w:ascii="Arial" w:hAnsi="Arial" w:cs="Arial"/>
                <w:sz w:val="20"/>
                <w:szCs w:val="20"/>
              </w:rPr>
            </w:pPr>
            <w:r w:rsidRPr="00225DEA">
              <w:rPr>
                <w:rFonts w:ascii="Arial" w:hAnsi="Arial" w:cs="Arial"/>
                <w:sz w:val="20"/>
                <w:szCs w:val="20"/>
              </w:rPr>
              <w:t>Inventaire des biens : (mobiliers et immobiliers) : Tenue de deux registres actualisés avec indication de l’état des biens</w:t>
            </w:r>
            <w:r w:rsidRPr="00225DEA">
              <w:rPr>
                <w:rFonts w:ascii="Arial" w:hAnsi="Arial" w:cs="Arial"/>
                <w:sz w:val="20"/>
                <w:szCs w:val="20"/>
              </w:rPr>
              <w:tab/>
            </w:r>
          </w:p>
          <w:p w14:paraId="3FF12829" w14:textId="77777777" w:rsidR="006B789C" w:rsidRPr="006B789C" w:rsidRDefault="006B789C" w:rsidP="00333B7F">
            <w:pPr>
              <w:spacing w:after="0" w:line="240" w:lineRule="auto"/>
              <w:jc w:val="both"/>
              <w:rPr>
                <w:rFonts w:ascii="Arial" w:hAnsi="Arial" w:cs="Arial"/>
                <w:sz w:val="20"/>
                <w:szCs w:val="20"/>
              </w:rPr>
            </w:pPr>
          </w:p>
        </w:tc>
      </w:tr>
      <w:tr w:rsidR="006B789C" w:rsidRPr="006B789C" w14:paraId="64E29445" w14:textId="77777777" w:rsidTr="00DC7E44">
        <w:tc>
          <w:tcPr>
            <w:tcW w:w="1418" w:type="dxa"/>
            <w:vMerge/>
          </w:tcPr>
          <w:p w14:paraId="2B58265F" w14:textId="77777777" w:rsidR="006B789C" w:rsidRPr="006B789C" w:rsidRDefault="006B789C" w:rsidP="00333B7F">
            <w:pPr>
              <w:spacing w:after="0" w:line="240" w:lineRule="auto"/>
              <w:jc w:val="both"/>
              <w:rPr>
                <w:rFonts w:ascii="Arial" w:hAnsi="Arial" w:cs="Arial"/>
                <w:b/>
                <w:bCs/>
                <w:sz w:val="20"/>
                <w:szCs w:val="20"/>
              </w:rPr>
            </w:pPr>
          </w:p>
        </w:tc>
        <w:tc>
          <w:tcPr>
            <w:tcW w:w="2790" w:type="dxa"/>
            <w:vMerge/>
            <w:vAlign w:val="center"/>
          </w:tcPr>
          <w:p w14:paraId="6FC4CDCB" w14:textId="77777777" w:rsidR="006B789C" w:rsidRPr="006B789C" w:rsidRDefault="006B789C" w:rsidP="00333B7F">
            <w:pPr>
              <w:pStyle w:val="Paragraphedeliste"/>
              <w:numPr>
                <w:ilvl w:val="0"/>
                <w:numId w:val="28"/>
              </w:numPr>
              <w:spacing w:after="0" w:line="240" w:lineRule="auto"/>
              <w:ind w:left="643"/>
              <w:jc w:val="center"/>
              <w:rPr>
                <w:rFonts w:ascii="Arial" w:hAnsi="Arial" w:cs="Arial"/>
                <w:b/>
                <w:bCs/>
                <w:sz w:val="20"/>
                <w:szCs w:val="20"/>
              </w:rPr>
            </w:pPr>
          </w:p>
        </w:tc>
        <w:tc>
          <w:tcPr>
            <w:tcW w:w="1453" w:type="dxa"/>
            <w:vAlign w:val="center"/>
          </w:tcPr>
          <w:p w14:paraId="6C17E94B" w14:textId="2C68093E" w:rsidR="006B789C" w:rsidRPr="00333B7F" w:rsidRDefault="006B789C" w:rsidP="00333B7F">
            <w:pPr>
              <w:spacing w:after="0" w:line="240" w:lineRule="auto"/>
              <w:jc w:val="center"/>
              <w:rPr>
                <w:rFonts w:ascii="Arial" w:hAnsi="Arial" w:cs="Arial"/>
                <w:sz w:val="20"/>
                <w:szCs w:val="20"/>
              </w:rPr>
            </w:pPr>
            <w:r w:rsidRPr="00333B7F">
              <w:rPr>
                <w:rFonts w:ascii="Arial" w:hAnsi="Arial" w:cs="Arial"/>
                <w:sz w:val="20"/>
                <w:szCs w:val="20"/>
              </w:rPr>
              <w:t>7-2</w:t>
            </w:r>
          </w:p>
        </w:tc>
        <w:tc>
          <w:tcPr>
            <w:tcW w:w="3993" w:type="dxa"/>
            <w:gridSpan w:val="2"/>
          </w:tcPr>
          <w:p w14:paraId="7D9085C0" w14:textId="2E3757FB" w:rsidR="006B789C" w:rsidRPr="00225DEA" w:rsidRDefault="006B789C" w:rsidP="00333B7F">
            <w:pPr>
              <w:spacing w:after="0" w:line="240" w:lineRule="auto"/>
              <w:jc w:val="both"/>
              <w:rPr>
                <w:rFonts w:ascii="Arial" w:hAnsi="Arial" w:cs="Arial"/>
                <w:sz w:val="20"/>
                <w:szCs w:val="20"/>
              </w:rPr>
            </w:pPr>
            <w:r w:rsidRPr="00225DEA">
              <w:rPr>
                <w:rFonts w:ascii="Arial" w:hAnsi="Arial" w:cs="Arial"/>
                <w:sz w:val="20"/>
                <w:szCs w:val="20"/>
              </w:rPr>
              <w:t>Taux des allocations affectées à l’entretien et à la maintenance des biens (sous-titre I et II) par rapport aux prévisions de la section 3 du budget (sous-titre II) (investissement direct)</w:t>
            </w:r>
            <w:r w:rsidRPr="00225DEA">
              <w:rPr>
                <w:rFonts w:ascii="Arial" w:hAnsi="Arial" w:cs="Arial"/>
                <w:sz w:val="20"/>
                <w:szCs w:val="20"/>
              </w:rPr>
              <w:tab/>
            </w:r>
          </w:p>
          <w:p w14:paraId="6C5DC885" w14:textId="77777777" w:rsidR="006B789C" w:rsidRPr="006B789C" w:rsidRDefault="006B789C" w:rsidP="00333B7F">
            <w:pPr>
              <w:spacing w:after="0" w:line="240" w:lineRule="auto"/>
              <w:jc w:val="both"/>
              <w:rPr>
                <w:rFonts w:ascii="Arial" w:hAnsi="Arial" w:cs="Arial"/>
                <w:sz w:val="20"/>
                <w:szCs w:val="20"/>
              </w:rPr>
            </w:pPr>
          </w:p>
        </w:tc>
      </w:tr>
      <w:tr w:rsidR="006B789C" w:rsidRPr="006B789C" w14:paraId="5A7F0B5B" w14:textId="77777777" w:rsidTr="00DC7E44">
        <w:tc>
          <w:tcPr>
            <w:tcW w:w="1418" w:type="dxa"/>
            <w:vMerge/>
          </w:tcPr>
          <w:p w14:paraId="47B5FA4F" w14:textId="77777777" w:rsidR="006B789C" w:rsidRPr="006B789C" w:rsidRDefault="006B789C" w:rsidP="00333B7F">
            <w:pPr>
              <w:spacing w:after="0" w:line="240" w:lineRule="auto"/>
              <w:jc w:val="both"/>
              <w:rPr>
                <w:rFonts w:ascii="Arial" w:hAnsi="Arial" w:cs="Arial"/>
                <w:b/>
                <w:bCs/>
                <w:sz w:val="20"/>
                <w:szCs w:val="20"/>
              </w:rPr>
            </w:pPr>
          </w:p>
        </w:tc>
        <w:tc>
          <w:tcPr>
            <w:tcW w:w="2790" w:type="dxa"/>
            <w:vMerge/>
            <w:vAlign w:val="center"/>
          </w:tcPr>
          <w:p w14:paraId="2B508995" w14:textId="77777777" w:rsidR="006B789C" w:rsidRPr="006B789C" w:rsidRDefault="006B789C" w:rsidP="00333B7F">
            <w:pPr>
              <w:pStyle w:val="Paragraphedeliste"/>
              <w:numPr>
                <w:ilvl w:val="0"/>
                <w:numId w:val="28"/>
              </w:numPr>
              <w:spacing w:after="0" w:line="240" w:lineRule="auto"/>
              <w:ind w:left="643"/>
              <w:jc w:val="center"/>
              <w:rPr>
                <w:rFonts w:ascii="Arial" w:hAnsi="Arial" w:cs="Arial"/>
                <w:b/>
                <w:bCs/>
                <w:sz w:val="20"/>
                <w:szCs w:val="20"/>
              </w:rPr>
            </w:pPr>
          </w:p>
        </w:tc>
        <w:tc>
          <w:tcPr>
            <w:tcW w:w="1453" w:type="dxa"/>
            <w:vAlign w:val="center"/>
          </w:tcPr>
          <w:p w14:paraId="4BBAEDA6" w14:textId="2B7E3F7E" w:rsidR="006B789C" w:rsidRPr="00333B7F" w:rsidRDefault="006B789C" w:rsidP="00333B7F">
            <w:pPr>
              <w:spacing w:after="0" w:line="240" w:lineRule="auto"/>
              <w:jc w:val="center"/>
              <w:rPr>
                <w:rFonts w:ascii="Arial" w:hAnsi="Arial" w:cs="Arial"/>
                <w:sz w:val="20"/>
                <w:szCs w:val="20"/>
              </w:rPr>
            </w:pPr>
            <w:r w:rsidRPr="00333B7F">
              <w:rPr>
                <w:rFonts w:ascii="Arial" w:hAnsi="Arial" w:cs="Arial"/>
                <w:sz w:val="20"/>
                <w:szCs w:val="20"/>
              </w:rPr>
              <w:t>7-3</w:t>
            </w:r>
          </w:p>
        </w:tc>
        <w:tc>
          <w:tcPr>
            <w:tcW w:w="3993" w:type="dxa"/>
            <w:gridSpan w:val="2"/>
          </w:tcPr>
          <w:p w14:paraId="5D3BCEF2" w14:textId="04F916C4" w:rsidR="006B789C" w:rsidRPr="006B789C" w:rsidRDefault="006B789C" w:rsidP="00333B7F">
            <w:pPr>
              <w:spacing w:after="0" w:line="240" w:lineRule="auto"/>
              <w:jc w:val="both"/>
              <w:rPr>
                <w:rFonts w:ascii="Arial" w:hAnsi="Arial" w:cs="Arial"/>
                <w:sz w:val="20"/>
                <w:szCs w:val="20"/>
              </w:rPr>
            </w:pPr>
            <w:r w:rsidRPr="00225DEA">
              <w:rPr>
                <w:rFonts w:ascii="Arial" w:hAnsi="Arial" w:cs="Arial"/>
                <w:sz w:val="20"/>
                <w:szCs w:val="20"/>
              </w:rPr>
              <w:t>Taux de réalisation des dépenses effectuées pour l’entretien et la maintenance des biens (sous-titre I et II) par rapport aux dépenses réalisées dans la section 3 du budget (sous-titre</w:t>
            </w:r>
            <w:r>
              <w:rPr>
                <w:rFonts w:ascii="Arial" w:hAnsi="Arial" w:cs="Arial"/>
                <w:sz w:val="20"/>
                <w:szCs w:val="20"/>
              </w:rPr>
              <w:t xml:space="preserve"> II) (investissement direct)</w:t>
            </w:r>
          </w:p>
        </w:tc>
      </w:tr>
      <w:tr w:rsidR="006B789C" w:rsidRPr="006B789C" w14:paraId="69BBCE93" w14:textId="77777777" w:rsidTr="00DC7E44">
        <w:tc>
          <w:tcPr>
            <w:tcW w:w="1418" w:type="dxa"/>
            <w:vMerge/>
          </w:tcPr>
          <w:p w14:paraId="23EA8E15" w14:textId="77777777" w:rsidR="006B789C" w:rsidRPr="006B789C" w:rsidRDefault="006B789C" w:rsidP="00333B7F">
            <w:pPr>
              <w:spacing w:after="0" w:line="240" w:lineRule="auto"/>
              <w:jc w:val="both"/>
              <w:rPr>
                <w:rFonts w:ascii="Arial" w:hAnsi="Arial" w:cs="Arial"/>
                <w:b/>
                <w:bCs/>
                <w:sz w:val="20"/>
                <w:szCs w:val="20"/>
              </w:rPr>
            </w:pPr>
          </w:p>
        </w:tc>
        <w:tc>
          <w:tcPr>
            <w:tcW w:w="2790" w:type="dxa"/>
            <w:vMerge w:val="restart"/>
            <w:vAlign w:val="center"/>
          </w:tcPr>
          <w:p w14:paraId="785980A2" w14:textId="15D69B84" w:rsidR="006B789C" w:rsidRPr="006B789C" w:rsidRDefault="006B789C" w:rsidP="00333B7F">
            <w:pPr>
              <w:pStyle w:val="Paragraphedeliste"/>
              <w:numPr>
                <w:ilvl w:val="0"/>
                <w:numId w:val="28"/>
              </w:numPr>
              <w:spacing w:after="0" w:line="240" w:lineRule="auto"/>
              <w:ind w:left="643"/>
              <w:jc w:val="center"/>
              <w:rPr>
                <w:rFonts w:ascii="Arial" w:hAnsi="Arial" w:cs="Arial"/>
                <w:b/>
                <w:bCs/>
                <w:sz w:val="20"/>
                <w:szCs w:val="20"/>
              </w:rPr>
            </w:pPr>
            <w:r w:rsidRPr="006B789C">
              <w:rPr>
                <w:rFonts w:ascii="Arial" w:hAnsi="Arial" w:cs="Arial"/>
                <w:b/>
                <w:bCs/>
                <w:sz w:val="20"/>
                <w:szCs w:val="20"/>
              </w:rPr>
              <w:t>Apurement des dettes</w:t>
            </w:r>
          </w:p>
        </w:tc>
        <w:tc>
          <w:tcPr>
            <w:tcW w:w="1453" w:type="dxa"/>
            <w:vAlign w:val="center"/>
          </w:tcPr>
          <w:p w14:paraId="1CA8D238" w14:textId="3CECC63F" w:rsidR="006B789C" w:rsidRPr="00333B7F" w:rsidRDefault="006B789C" w:rsidP="00333B7F">
            <w:pPr>
              <w:spacing w:after="0" w:line="240" w:lineRule="auto"/>
              <w:jc w:val="center"/>
              <w:rPr>
                <w:rFonts w:ascii="Arial" w:hAnsi="Arial" w:cs="Arial"/>
                <w:sz w:val="20"/>
                <w:szCs w:val="20"/>
              </w:rPr>
            </w:pPr>
            <w:r w:rsidRPr="00333B7F">
              <w:rPr>
                <w:rFonts w:ascii="Arial" w:hAnsi="Arial" w:cs="Arial"/>
                <w:sz w:val="20"/>
                <w:szCs w:val="20"/>
              </w:rPr>
              <w:t>8-1</w:t>
            </w:r>
          </w:p>
        </w:tc>
        <w:tc>
          <w:tcPr>
            <w:tcW w:w="3993" w:type="dxa"/>
            <w:gridSpan w:val="2"/>
          </w:tcPr>
          <w:p w14:paraId="1395827E" w14:textId="02BD8D92" w:rsidR="006B789C" w:rsidRPr="006B789C" w:rsidRDefault="006B789C" w:rsidP="00333B7F">
            <w:pPr>
              <w:spacing w:after="0" w:line="240" w:lineRule="auto"/>
              <w:jc w:val="both"/>
              <w:rPr>
                <w:rFonts w:ascii="Arial" w:hAnsi="Arial" w:cs="Arial"/>
                <w:sz w:val="20"/>
                <w:szCs w:val="20"/>
              </w:rPr>
            </w:pPr>
            <w:r w:rsidRPr="00225DEA">
              <w:rPr>
                <w:rFonts w:ascii="Arial" w:hAnsi="Arial" w:cs="Arial"/>
                <w:sz w:val="20"/>
                <w:szCs w:val="20"/>
              </w:rPr>
              <w:t>Elaboration d’un plan pluriannuel d’assainissement exhaustif des dettes (en terme du montant et créancier)</w:t>
            </w:r>
            <w:r w:rsidRPr="00225DEA">
              <w:rPr>
                <w:rFonts w:ascii="Arial" w:hAnsi="Arial" w:cs="Arial"/>
                <w:sz w:val="20"/>
                <w:szCs w:val="20"/>
              </w:rPr>
              <w:tab/>
            </w:r>
          </w:p>
        </w:tc>
      </w:tr>
      <w:tr w:rsidR="006B789C" w:rsidRPr="006B789C" w14:paraId="19CE5CBF" w14:textId="77777777" w:rsidTr="00DC7E44">
        <w:tc>
          <w:tcPr>
            <w:tcW w:w="1418" w:type="dxa"/>
            <w:vMerge/>
          </w:tcPr>
          <w:p w14:paraId="3E55901A" w14:textId="77777777" w:rsidR="006B789C" w:rsidRPr="006B789C" w:rsidRDefault="006B789C" w:rsidP="00333B7F">
            <w:pPr>
              <w:spacing w:after="0" w:line="240" w:lineRule="auto"/>
              <w:jc w:val="both"/>
              <w:rPr>
                <w:rFonts w:ascii="Arial" w:hAnsi="Arial" w:cs="Arial"/>
                <w:b/>
                <w:bCs/>
                <w:sz w:val="20"/>
                <w:szCs w:val="20"/>
              </w:rPr>
            </w:pPr>
          </w:p>
        </w:tc>
        <w:tc>
          <w:tcPr>
            <w:tcW w:w="2790" w:type="dxa"/>
            <w:vMerge/>
            <w:vAlign w:val="center"/>
          </w:tcPr>
          <w:p w14:paraId="7385FC66" w14:textId="77777777" w:rsidR="006B789C" w:rsidRPr="006B789C" w:rsidRDefault="006B789C" w:rsidP="00333B7F">
            <w:pPr>
              <w:pStyle w:val="Paragraphedeliste"/>
              <w:numPr>
                <w:ilvl w:val="0"/>
                <w:numId w:val="28"/>
              </w:numPr>
              <w:spacing w:after="0" w:line="240" w:lineRule="auto"/>
              <w:ind w:left="643"/>
              <w:jc w:val="center"/>
              <w:rPr>
                <w:rFonts w:ascii="Arial" w:hAnsi="Arial" w:cs="Arial"/>
                <w:b/>
                <w:bCs/>
                <w:sz w:val="20"/>
                <w:szCs w:val="20"/>
              </w:rPr>
            </w:pPr>
          </w:p>
        </w:tc>
        <w:tc>
          <w:tcPr>
            <w:tcW w:w="1453" w:type="dxa"/>
            <w:vAlign w:val="center"/>
          </w:tcPr>
          <w:p w14:paraId="7630D5C7" w14:textId="79DDA808" w:rsidR="006B789C" w:rsidRPr="00333B7F" w:rsidRDefault="006B789C" w:rsidP="00333B7F">
            <w:pPr>
              <w:spacing w:after="0" w:line="240" w:lineRule="auto"/>
              <w:jc w:val="center"/>
              <w:rPr>
                <w:rFonts w:ascii="Arial" w:hAnsi="Arial" w:cs="Arial"/>
                <w:sz w:val="20"/>
                <w:szCs w:val="20"/>
              </w:rPr>
            </w:pPr>
            <w:r w:rsidRPr="00333B7F">
              <w:rPr>
                <w:rFonts w:ascii="Arial" w:hAnsi="Arial" w:cs="Arial"/>
                <w:sz w:val="20"/>
                <w:szCs w:val="20"/>
              </w:rPr>
              <w:t>8-2</w:t>
            </w:r>
          </w:p>
        </w:tc>
        <w:tc>
          <w:tcPr>
            <w:tcW w:w="3993" w:type="dxa"/>
            <w:gridSpan w:val="2"/>
          </w:tcPr>
          <w:p w14:paraId="64FFFC88" w14:textId="07EBBDD1" w:rsidR="006B789C" w:rsidRPr="00225DEA" w:rsidRDefault="006B789C" w:rsidP="00333B7F">
            <w:pPr>
              <w:spacing w:after="0" w:line="240" w:lineRule="auto"/>
              <w:jc w:val="both"/>
              <w:rPr>
                <w:rFonts w:ascii="Arial" w:hAnsi="Arial" w:cs="Arial"/>
                <w:sz w:val="20"/>
                <w:szCs w:val="20"/>
              </w:rPr>
            </w:pPr>
            <w:r w:rsidRPr="00225DEA">
              <w:rPr>
                <w:rFonts w:ascii="Arial" w:hAnsi="Arial" w:cs="Arial"/>
                <w:sz w:val="20"/>
                <w:szCs w:val="20"/>
              </w:rPr>
              <w:t xml:space="preserve">Inscription au budget des montants annuels prévus dans le plan </w:t>
            </w:r>
            <w:r>
              <w:rPr>
                <w:rFonts w:ascii="Arial" w:hAnsi="Arial" w:cs="Arial"/>
                <w:sz w:val="20"/>
                <w:szCs w:val="20"/>
              </w:rPr>
              <w:t xml:space="preserve">d’assainissement des dettes </w:t>
            </w:r>
          </w:p>
          <w:p w14:paraId="4A8635E5" w14:textId="34D59A4D" w:rsidR="006B789C" w:rsidRPr="006B789C" w:rsidRDefault="006B789C" w:rsidP="00333B7F">
            <w:pPr>
              <w:spacing w:after="0" w:line="240" w:lineRule="auto"/>
              <w:jc w:val="both"/>
              <w:rPr>
                <w:rFonts w:ascii="Arial" w:hAnsi="Arial" w:cs="Arial"/>
                <w:sz w:val="20"/>
                <w:szCs w:val="20"/>
              </w:rPr>
            </w:pPr>
          </w:p>
        </w:tc>
      </w:tr>
      <w:tr w:rsidR="006B789C" w:rsidRPr="006B789C" w14:paraId="11521840" w14:textId="77777777" w:rsidTr="00DC7E44">
        <w:tc>
          <w:tcPr>
            <w:tcW w:w="1418" w:type="dxa"/>
            <w:vMerge/>
          </w:tcPr>
          <w:p w14:paraId="4380B2A5" w14:textId="77777777" w:rsidR="006B789C" w:rsidRPr="006B789C" w:rsidRDefault="006B789C" w:rsidP="00333B7F">
            <w:pPr>
              <w:spacing w:after="0" w:line="240" w:lineRule="auto"/>
              <w:jc w:val="both"/>
              <w:rPr>
                <w:rFonts w:ascii="Arial" w:hAnsi="Arial" w:cs="Arial"/>
                <w:b/>
                <w:bCs/>
                <w:sz w:val="20"/>
                <w:szCs w:val="20"/>
              </w:rPr>
            </w:pPr>
          </w:p>
        </w:tc>
        <w:tc>
          <w:tcPr>
            <w:tcW w:w="2790" w:type="dxa"/>
            <w:vMerge/>
            <w:vAlign w:val="center"/>
          </w:tcPr>
          <w:p w14:paraId="3B524C78" w14:textId="77777777" w:rsidR="006B789C" w:rsidRPr="006B789C" w:rsidRDefault="006B789C" w:rsidP="00333B7F">
            <w:pPr>
              <w:pStyle w:val="Paragraphedeliste"/>
              <w:numPr>
                <w:ilvl w:val="0"/>
                <w:numId w:val="28"/>
              </w:numPr>
              <w:spacing w:after="0" w:line="240" w:lineRule="auto"/>
              <w:ind w:left="643"/>
              <w:jc w:val="center"/>
              <w:rPr>
                <w:rFonts w:ascii="Arial" w:hAnsi="Arial" w:cs="Arial"/>
                <w:b/>
                <w:bCs/>
                <w:sz w:val="20"/>
                <w:szCs w:val="20"/>
              </w:rPr>
            </w:pPr>
          </w:p>
        </w:tc>
        <w:tc>
          <w:tcPr>
            <w:tcW w:w="1453" w:type="dxa"/>
            <w:vAlign w:val="center"/>
          </w:tcPr>
          <w:p w14:paraId="5F4C59FB" w14:textId="2AB87321" w:rsidR="006B789C" w:rsidRPr="00333B7F" w:rsidRDefault="006B789C" w:rsidP="00333B7F">
            <w:pPr>
              <w:spacing w:after="0" w:line="240" w:lineRule="auto"/>
              <w:jc w:val="center"/>
              <w:rPr>
                <w:rFonts w:ascii="Arial" w:hAnsi="Arial" w:cs="Arial"/>
                <w:sz w:val="20"/>
                <w:szCs w:val="20"/>
              </w:rPr>
            </w:pPr>
            <w:r w:rsidRPr="00333B7F">
              <w:rPr>
                <w:rFonts w:ascii="Arial" w:hAnsi="Arial" w:cs="Arial"/>
                <w:sz w:val="20"/>
                <w:szCs w:val="20"/>
              </w:rPr>
              <w:t>8-3</w:t>
            </w:r>
          </w:p>
        </w:tc>
        <w:tc>
          <w:tcPr>
            <w:tcW w:w="3993" w:type="dxa"/>
            <w:gridSpan w:val="2"/>
          </w:tcPr>
          <w:p w14:paraId="0F24C97A" w14:textId="6E902F6B" w:rsidR="006B789C" w:rsidRPr="00225DEA" w:rsidRDefault="006B789C" w:rsidP="00333B7F">
            <w:pPr>
              <w:spacing w:after="0" w:line="240" w:lineRule="auto"/>
              <w:jc w:val="both"/>
              <w:rPr>
                <w:rFonts w:ascii="Arial" w:hAnsi="Arial" w:cs="Arial"/>
                <w:sz w:val="20"/>
                <w:szCs w:val="20"/>
              </w:rPr>
            </w:pPr>
            <w:r w:rsidRPr="006B789C">
              <w:rPr>
                <w:rFonts w:ascii="Arial" w:hAnsi="Arial" w:cs="Arial"/>
                <w:sz w:val="20"/>
                <w:szCs w:val="20"/>
              </w:rPr>
              <w:t>Paiement de la totalité des dettes en</w:t>
            </w:r>
            <w:r>
              <w:rPr>
                <w:rFonts w:ascii="Arial" w:hAnsi="Arial" w:cs="Arial"/>
                <w:sz w:val="20"/>
                <w:szCs w:val="20"/>
              </w:rPr>
              <w:t>gagées dans le budget (en %)</w:t>
            </w:r>
          </w:p>
        </w:tc>
      </w:tr>
      <w:tr w:rsidR="006B789C" w:rsidRPr="006B789C" w14:paraId="373EE399" w14:textId="77777777" w:rsidTr="00DC7E44">
        <w:tc>
          <w:tcPr>
            <w:tcW w:w="1418" w:type="dxa"/>
            <w:vMerge/>
          </w:tcPr>
          <w:p w14:paraId="1CBE8780" w14:textId="77777777" w:rsidR="006B789C" w:rsidRPr="006B789C" w:rsidRDefault="006B789C" w:rsidP="00333B7F">
            <w:pPr>
              <w:spacing w:after="0" w:line="240" w:lineRule="auto"/>
              <w:jc w:val="both"/>
              <w:rPr>
                <w:rFonts w:ascii="Arial" w:hAnsi="Arial" w:cs="Arial"/>
                <w:b/>
                <w:bCs/>
                <w:sz w:val="20"/>
                <w:szCs w:val="20"/>
              </w:rPr>
            </w:pPr>
          </w:p>
        </w:tc>
        <w:tc>
          <w:tcPr>
            <w:tcW w:w="2790" w:type="dxa"/>
            <w:vMerge w:val="restart"/>
            <w:vAlign w:val="center"/>
          </w:tcPr>
          <w:p w14:paraId="5460F584" w14:textId="130F0509" w:rsidR="006B789C" w:rsidRPr="006B789C" w:rsidRDefault="006B789C" w:rsidP="00333B7F">
            <w:pPr>
              <w:pStyle w:val="Paragraphedeliste"/>
              <w:numPr>
                <w:ilvl w:val="0"/>
                <w:numId w:val="28"/>
              </w:numPr>
              <w:spacing w:after="0" w:line="240" w:lineRule="auto"/>
              <w:ind w:left="643"/>
              <w:jc w:val="center"/>
              <w:rPr>
                <w:rFonts w:ascii="Arial" w:hAnsi="Arial" w:cs="Arial"/>
                <w:b/>
                <w:bCs/>
                <w:sz w:val="20"/>
                <w:szCs w:val="20"/>
              </w:rPr>
            </w:pPr>
            <w:r w:rsidRPr="006B789C">
              <w:rPr>
                <w:rFonts w:ascii="Arial" w:hAnsi="Arial" w:cs="Arial"/>
                <w:b/>
                <w:bCs/>
                <w:sz w:val="20"/>
                <w:szCs w:val="20"/>
              </w:rPr>
              <w:t>Amélioration des ressources propres</w:t>
            </w:r>
          </w:p>
        </w:tc>
        <w:tc>
          <w:tcPr>
            <w:tcW w:w="1453" w:type="dxa"/>
            <w:vAlign w:val="center"/>
          </w:tcPr>
          <w:p w14:paraId="26B7B5C0" w14:textId="365AABCB" w:rsidR="006B789C" w:rsidRPr="00333B7F" w:rsidRDefault="006B789C" w:rsidP="00333B7F">
            <w:pPr>
              <w:spacing w:after="0" w:line="240" w:lineRule="auto"/>
              <w:jc w:val="center"/>
              <w:rPr>
                <w:rFonts w:ascii="Arial" w:hAnsi="Arial" w:cs="Arial"/>
                <w:sz w:val="20"/>
                <w:szCs w:val="20"/>
              </w:rPr>
            </w:pPr>
            <w:r w:rsidRPr="00333B7F">
              <w:rPr>
                <w:rFonts w:ascii="Arial" w:hAnsi="Arial" w:cs="Arial"/>
                <w:sz w:val="20"/>
                <w:szCs w:val="20"/>
              </w:rPr>
              <w:t>9-1</w:t>
            </w:r>
          </w:p>
        </w:tc>
        <w:tc>
          <w:tcPr>
            <w:tcW w:w="3993" w:type="dxa"/>
            <w:gridSpan w:val="2"/>
          </w:tcPr>
          <w:p w14:paraId="50F4F368" w14:textId="317BF542" w:rsidR="006B789C" w:rsidRPr="00225DEA" w:rsidRDefault="006B789C" w:rsidP="00992D1D">
            <w:pPr>
              <w:spacing w:after="0" w:line="240" w:lineRule="auto"/>
              <w:jc w:val="both"/>
              <w:rPr>
                <w:rFonts w:ascii="Arial" w:hAnsi="Arial" w:cs="Arial"/>
                <w:sz w:val="20"/>
                <w:szCs w:val="20"/>
              </w:rPr>
            </w:pPr>
            <w:r w:rsidRPr="00225DEA">
              <w:rPr>
                <w:rFonts w:ascii="Arial" w:hAnsi="Arial" w:cs="Arial"/>
                <w:sz w:val="20"/>
                <w:szCs w:val="20"/>
              </w:rPr>
              <w:t>Mise à jour annuelle des rôles de recouvrement des taxes sur les immeubles bâtis et les terrains non bâtis (TIB, TNB)</w:t>
            </w:r>
            <w:r w:rsidRPr="00225DEA">
              <w:rPr>
                <w:rFonts w:ascii="Arial" w:hAnsi="Arial" w:cs="Arial"/>
                <w:sz w:val="20"/>
                <w:szCs w:val="20"/>
              </w:rPr>
              <w:tab/>
              <w:t xml:space="preserve"> </w:t>
            </w:r>
          </w:p>
          <w:p w14:paraId="70C456B2" w14:textId="77777777" w:rsidR="006B789C" w:rsidRPr="006B789C" w:rsidRDefault="006B789C" w:rsidP="00333B7F">
            <w:pPr>
              <w:spacing w:after="0" w:line="240" w:lineRule="auto"/>
              <w:jc w:val="both"/>
              <w:rPr>
                <w:rFonts w:ascii="Arial" w:hAnsi="Arial" w:cs="Arial"/>
                <w:sz w:val="20"/>
                <w:szCs w:val="20"/>
              </w:rPr>
            </w:pPr>
          </w:p>
        </w:tc>
      </w:tr>
      <w:tr w:rsidR="006B789C" w:rsidRPr="006B789C" w14:paraId="1C6860D6" w14:textId="77777777" w:rsidTr="00DC7E44">
        <w:tc>
          <w:tcPr>
            <w:tcW w:w="1418" w:type="dxa"/>
            <w:vMerge w:val="restart"/>
            <w:tcBorders>
              <w:top w:val="nil"/>
            </w:tcBorders>
          </w:tcPr>
          <w:p w14:paraId="59EF39A3" w14:textId="77777777" w:rsidR="006B789C" w:rsidRPr="006B789C" w:rsidRDefault="006B789C" w:rsidP="00333B7F">
            <w:pPr>
              <w:spacing w:after="0" w:line="240" w:lineRule="auto"/>
              <w:jc w:val="both"/>
              <w:rPr>
                <w:rFonts w:ascii="Arial" w:hAnsi="Arial" w:cs="Arial"/>
                <w:b/>
                <w:bCs/>
                <w:sz w:val="20"/>
                <w:szCs w:val="20"/>
              </w:rPr>
            </w:pPr>
          </w:p>
        </w:tc>
        <w:tc>
          <w:tcPr>
            <w:tcW w:w="2790" w:type="dxa"/>
            <w:vMerge/>
            <w:vAlign w:val="center"/>
          </w:tcPr>
          <w:p w14:paraId="49830B30" w14:textId="77777777" w:rsidR="006B789C" w:rsidRPr="006B789C" w:rsidRDefault="006B789C" w:rsidP="00333B7F">
            <w:pPr>
              <w:pStyle w:val="Paragraphedeliste"/>
              <w:numPr>
                <w:ilvl w:val="0"/>
                <w:numId w:val="28"/>
              </w:numPr>
              <w:spacing w:after="0" w:line="240" w:lineRule="auto"/>
              <w:ind w:left="643"/>
              <w:jc w:val="center"/>
              <w:rPr>
                <w:rFonts w:ascii="Arial" w:hAnsi="Arial" w:cs="Arial"/>
                <w:b/>
                <w:bCs/>
                <w:sz w:val="20"/>
                <w:szCs w:val="20"/>
              </w:rPr>
            </w:pPr>
          </w:p>
        </w:tc>
        <w:tc>
          <w:tcPr>
            <w:tcW w:w="1453" w:type="dxa"/>
            <w:vAlign w:val="center"/>
          </w:tcPr>
          <w:p w14:paraId="43511CA2" w14:textId="4F7D4B69" w:rsidR="006B789C" w:rsidRPr="00333B7F" w:rsidRDefault="006B789C" w:rsidP="00333B7F">
            <w:pPr>
              <w:spacing w:after="0" w:line="240" w:lineRule="auto"/>
              <w:jc w:val="center"/>
              <w:rPr>
                <w:rFonts w:ascii="Arial" w:hAnsi="Arial" w:cs="Arial"/>
                <w:sz w:val="20"/>
                <w:szCs w:val="20"/>
              </w:rPr>
            </w:pPr>
            <w:r w:rsidRPr="00333B7F">
              <w:rPr>
                <w:rFonts w:ascii="Arial" w:hAnsi="Arial" w:cs="Arial"/>
                <w:sz w:val="20"/>
                <w:szCs w:val="20"/>
              </w:rPr>
              <w:t>9-2</w:t>
            </w:r>
          </w:p>
        </w:tc>
        <w:tc>
          <w:tcPr>
            <w:tcW w:w="3993" w:type="dxa"/>
            <w:gridSpan w:val="2"/>
          </w:tcPr>
          <w:p w14:paraId="19C457C8" w14:textId="5D0506CE" w:rsidR="006B789C" w:rsidRPr="006B789C" w:rsidRDefault="006B789C" w:rsidP="00333B7F">
            <w:pPr>
              <w:spacing w:after="0" w:line="240" w:lineRule="auto"/>
              <w:jc w:val="both"/>
              <w:rPr>
                <w:rFonts w:ascii="Arial" w:hAnsi="Arial" w:cs="Arial"/>
                <w:sz w:val="20"/>
                <w:szCs w:val="20"/>
              </w:rPr>
            </w:pPr>
            <w:r w:rsidRPr="00225DEA">
              <w:rPr>
                <w:rFonts w:ascii="Arial" w:hAnsi="Arial" w:cs="Arial"/>
                <w:sz w:val="20"/>
                <w:szCs w:val="20"/>
              </w:rPr>
              <w:t>Taux de recouvrement effectif des recettes prop</w:t>
            </w:r>
            <w:r w:rsidR="00992D1D">
              <w:rPr>
                <w:rFonts w:ascii="Arial" w:hAnsi="Arial" w:cs="Arial"/>
                <w:sz w:val="20"/>
                <w:szCs w:val="20"/>
              </w:rPr>
              <w:t xml:space="preserve">res par rapport aux prévisions </w:t>
            </w:r>
          </w:p>
        </w:tc>
      </w:tr>
      <w:tr w:rsidR="006B789C" w:rsidRPr="006B789C" w14:paraId="54FB3C3F" w14:textId="77777777" w:rsidTr="00DC7E44">
        <w:tc>
          <w:tcPr>
            <w:tcW w:w="1418" w:type="dxa"/>
            <w:vMerge/>
            <w:tcBorders>
              <w:top w:val="nil"/>
            </w:tcBorders>
          </w:tcPr>
          <w:p w14:paraId="3A426C64" w14:textId="77777777" w:rsidR="006B789C" w:rsidRPr="006B789C" w:rsidRDefault="006B789C" w:rsidP="00333B7F">
            <w:pPr>
              <w:spacing w:after="0" w:line="240" w:lineRule="auto"/>
              <w:jc w:val="both"/>
              <w:rPr>
                <w:rFonts w:ascii="Arial" w:hAnsi="Arial" w:cs="Arial"/>
                <w:b/>
                <w:bCs/>
                <w:sz w:val="20"/>
                <w:szCs w:val="20"/>
              </w:rPr>
            </w:pPr>
          </w:p>
        </w:tc>
        <w:tc>
          <w:tcPr>
            <w:tcW w:w="2790" w:type="dxa"/>
            <w:vMerge/>
            <w:vAlign w:val="center"/>
          </w:tcPr>
          <w:p w14:paraId="21451D2F" w14:textId="77777777" w:rsidR="006B789C" w:rsidRPr="006B789C" w:rsidRDefault="006B789C" w:rsidP="00333B7F">
            <w:pPr>
              <w:pStyle w:val="Paragraphedeliste"/>
              <w:numPr>
                <w:ilvl w:val="0"/>
                <w:numId w:val="28"/>
              </w:numPr>
              <w:spacing w:after="0" w:line="240" w:lineRule="auto"/>
              <w:ind w:left="643"/>
              <w:jc w:val="center"/>
              <w:rPr>
                <w:rFonts w:ascii="Arial" w:hAnsi="Arial" w:cs="Arial"/>
                <w:b/>
                <w:bCs/>
                <w:sz w:val="20"/>
                <w:szCs w:val="20"/>
              </w:rPr>
            </w:pPr>
          </w:p>
        </w:tc>
        <w:tc>
          <w:tcPr>
            <w:tcW w:w="1453" w:type="dxa"/>
            <w:vAlign w:val="center"/>
          </w:tcPr>
          <w:p w14:paraId="737D5A47" w14:textId="100A4963" w:rsidR="006B789C" w:rsidRPr="00333B7F" w:rsidRDefault="006B789C" w:rsidP="00333B7F">
            <w:pPr>
              <w:spacing w:after="0" w:line="240" w:lineRule="auto"/>
              <w:jc w:val="center"/>
              <w:rPr>
                <w:rFonts w:ascii="Arial" w:hAnsi="Arial" w:cs="Arial"/>
                <w:sz w:val="20"/>
                <w:szCs w:val="20"/>
              </w:rPr>
            </w:pPr>
            <w:r w:rsidRPr="00333B7F">
              <w:rPr>
                <w:rFonts w:ascii="Arial" w:hAnsi="Arial" w:cs="Arial"/>
                <w:sz w:val="20"/>
                <w:szCs w:val="20"/>
              </w:rPr>
              <w:t>9-3</w:t>
            </w:r>
          </w:p>
        </w:tc>
        <w:tc>
          <w:tcPr>
            <w:tcW w:w="3993" w:type="dxa"/>
            <w:gridSpan w:val="2"/>
          </w:tcPr>
          <w:p w14:paraId="2AFD5D91" w14:textId="69B3CAE7" w:rsidR="006B789C" w:rsidRPr="006B789C" w:rsidRDefault="006B789C" w:rsidP="00333B7F">
            <w:pPr>
              <w:spacing w:after="0" w:line="240" w:lineRule="auto"/>
              <w:jc w:val="both"/>
              <w:rPr>
                <w:rFonts w:ascii="Arial" w:hAnsi="Arial" w:cs="Arial"/>
                <w:sz w:val="20"/>
                <w:szCs w:val="20"/>
              </w:rPr>
            </w:pPr>
            <w:r w:rsidRPr="00225DEA">
              <w:rPr>
                <w:rFonts w:ascii="Arial" w:hAnsi="Arial" w:cs="Arial"/>
                <w:sz w:val="20"/>
                <w:szCs w:val="20"/>
              </w:rPr>
              <w:t>Taux de croissance des recettes propres par rapport à l’exercice précéd</w:t>
            </w:r>
            <w:r w:rsidR="00992D1D">
              <w:rPr>
                <w:rFonts w:ascii="Arial" w:hAnsi="Arial" w:cs="Arial"/>
                <w:sz w:val="20"/>
                <w:szCs w:val="20"/>
              </w:rPr>
              <w:t xml:space="preserve">ent </w:t>
            </w:r>
          </w:p>
        </w:tc>
      </w:tr>
      <w:tr w:rsidR="006B789C" w:rsidRPr="006B789C" w14:paraId="50C3F99D" w14:textId="77777777" w:rsidTr="00DC7E44">
        <w:tc>
          <w:tcPr>
            <w:tcW w:w="1418" w:type="dxa"/>
            <w:vMerge/>
            <w:tcBorders>
              <w:top w:val="nil"/>
            </w:tcBorders>
          </w:tcPr>
          <w:p w14:paraId="251A6DD3" w14:textId="77777777" w:rsidR="006B789C" w:rsidRPr="006B789C" w:rsidRDefault="006B789C" w:rsidP="00333B7F">
            <w:pPr>
              <w:spacing w:after="0" w:line="240" w:lineRule="auto"/>
              <w:jc w:val="both"/>
              <w:rPr>
                <w:rFonts w:ascii="Arial" w:hAnsi="Arial" w:cs="Arial"/>
                <w:b/>
                <w:bCs/>
                <w:sz w:val="20"/>
                <w:szCs w:val="20"/>
              </w:rPr>
            </w:pPr>
          </w:p>
        </w:tc>
        <w:tc>
          <w:tcPr>
            <w:tcW w:w="2790" w:type="dxa"/>
            <w:vAlign w:val="center"/>
          </w:tcPr>
          <w:p w14:paraId="68995192" w14:textId="09B1D5D4" w:rsidR="006B789C" w:rsidRPr="006B789C" w:rsidRDefault="006B789C" w:rsidP="00333B7F">
            <w:pPr>
              <w:pStyle w:val="Paragraphedeliste"/>
              <w:numPr>
                <w:ilvl w:val="0"/>
                <w:numId w:val="28"/>
              </w:numPr>
              <w:spacing w:after="0" w:line="240" w:lineRule="auto"/>
              <w:ind w:left="643"/>
              <w:jc w:val="center"/>
              <w:rPr>
                <w:rFonts w:ascii="Arial" w:hAnsi="Arial" w:cs="Arial"/>
                <w:b/>
                <w:bCs/>
                <w:sz w:val="20"/>
                <w:szCs w:val="20"/>
              </w:rPr>
            </w:pPr>
            <w:r w:rsidRPr="006B789C">
              <w:rPr>
                <w:rFonts w:ascii="Arial" w:hAnsi="Arial" w:cs="Arial"/>
                <w:b/>
                <w:bCs/>
                <w:sz w:val="20"/>
                <w:szCs w:val="20"/>
              </w:rPr>
              <w:t>Sauvegarde sociale et environnementale</w:t>
            </w:r>
          </w:p>
          <w:p w14:paraId="01F40582" w14:textId="77777777" w:rsidR="006B789C" w:rsidRPr="006B789C" w:rsidRDefault="006B789C" w:rsidP="00333B7F">
            <w:pPr>
              <w:spacing w:after="0" w:line="240" w:lineRule="auto"/>
              <w:jc w:val="center"/>
              <w:rPr>
                <w:rFonts w:ascii="Arial" w:hAnsi="Arial" w:cs="Arial"/>
                <w:b/>
                <w:bCs/>
                <w:sz w:val="20"/>
                <w:szCs w:val="20"/>
              </w:rPr>
            </w:pPr>
          </w:p>
        </w:tc>
        <w:tc>
          <w:tcPr>
            <w:tcW w:w="1453" w:type="dxa"/>
            <w:vAlign w:val="center"/>
          </w:tcPr>
          <w:p w14:paraId="0983F524" w14:textId="14C2CB9F" w:rsidR="006B789C" w:rsidRPr="00333B7F" w:rsidRDefault="006B789C" w:rsidP="00333B7F">
            <w:pPr>
              <w:spacing w:after="0" w:line="240" w:lineRule="auto"/>
              <w:jc w:val="center"/>
              <w:rPr>
                <w:rFonts w:ascii="Arial" w:hAnsi="Arial" w:cs="Arial"/>
                <w:sz w:val="20"/>
                <w:szCs w:val="20"/>
              </w:rPr>
            </w:pPr>
            <w:r w:rsidRPr="00333B7F">
              <w:rPr>
                <w:rFonts w:ascii="Arial" w:hAnsi="Arial" w:cs="Arial"/>
                <w:sz w:val="20"/>
                <w:szCs w:val="20"/>
              </w:rPr>
              <w:t>10-1</w:t>
            </w:r>
          </w:p>
        </w:tc>
        <w:tc>
          <w:tcPr>
            <w:tcW w:w="3993" w:type="dxa"/>
            <w:gridSpan w:val="2"/>
          </w:tcPr>
          <w:p w14:paraId="2660204D" w14:textId="6194EE2D" w:rsidR="006B789C" w:rsidRPr="006B789C" w:rsidRDefault="006B789C" w:rsidP="00333B7F">
            <w:pPr>
              <w:spacing w:after="0" w:line="240" w:lineRule="auto"/>
              <w:jc w:val="both"/>
              <w:rPr>
                <w:rFonts w:ascii="Arial" w:hAnsi="Arial" w:cs="Arial"/>
                <w:sz w:val="20"/>
                <w:szCs w:val="20"/>
              </w:rPr>
            </w:pPr>
            <w:r w:rsidRPr="00225DEA">
              <w:rPr>
                <w:rFonts w:ascii="Arial" w:hAnsi="Arial" w:cs="Arial"/>
                <w:sz w:val="20"/>
                <w:szCs w:val="20"/>
              </w:rPr>
              <w:t>Respect des procédures visant l’examen social et environnem</w:t>
            </w:r>
            <w:r>
              <w:rPr>
                <w:rFonts w:ascii="Arial" w:hAnsi="Arial" w:cs="Arial"/>
                <w:sz w:val="20"/>
                <w:szCs w:val="20"/>
              </w:rPr>
              <w:t>ental des projets communaux</w:t>
            </w:r>
            <w:bookmarkStart w:id="0" w:name="_GoBack"/>
            <w:bookmarkEnd w:id="0"/>
            <w:r>
              <w:rPr>
                <w:rFonts w:ascii="Arial" w:hAnsi="Arial" w:cs="Arial"/>
                <w:sz w:val="20"/>
                <w:szCs w:val="20"/>
              </w:rPr>
              <w:t xml:space="preserve"> </w:t>
            </w:r>
          </w:p>
        </w:tc>
      </w:tr>
    </w:tbl>
    <w:p w14:paraId="1E72D580" w14:textId="1C9EF0C3"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tab/>
      </w:r>
    </w:p>
    <w:p w14:paraId="4B0D48B3" w14:textId="77777777" w:rsidR="00225DEA" w:rsidRPr="00225DEA" w:rsidRDefault="00225DEA" w:rsidP="00333B7F">
      <w:pPr>
        <w:spacing w:after="0" w:line="240" w:lineRule="auto"/>
        <w:ind w:left="284"/>
        <w:jc w:val="both"/>
        <w:rPr>
          <w:rFonts w:ascii="Arial" w:hAnsi="Arial" w:cs="Arial"/>
          <w:sz w:val="20"/>
          <w:szCs w:val="20"/>
        </w:rPr>
      </w:pPr>
      <w:r w:rsidRPr="00225DEA">
        <w:rPr>
          <w:rFonts w:ascii="Arial" w:hAnsi="Arial" w:cs="Arial"/>
          <w:sz w:val="20"/>
          <w:szCs w:val="20"/>
        </w:rPr>
        <w:t xml:space="preserve">Les recettes propres comprennent l’ensemble des recettes du titre I, à l’exception des taxes sur les activités, des allocations de l’Etat au titre du fonds commun des collectivités locales, des subventions exceptionnelles du budget de l’Etat et des ressources du fonds de coopération entre les collectivités locales </w:t>
      </w:r>
    </w:p>
    <w:p w14:paraId="64288CF7" w14:textId="77777777" w:rsidR="008F4C1B" w:rsidRDefault="008F4C1B" w:rsidP="00333B7F">
      <w:pPr>
        <w:spacing w:after="0" w:line="240" w:lineRule="auto"/>
        <w:ind w:left="284"/>
        <w:jc w:val="both"/>
        <w:rPr>
          <w:rFonts w:ascii="Arial" w:hAnsi="Arial" w:cs="Arial"/>
          <w:sz w:val="20"/>
          <w:szCs w:val="20"/>
        </w:rPr>
      </w:pPr>
    </w:p>
    <w:p w14:paraId="57AADA69" w14:textId="2F8DE8AF" w:rsidR="00225DEA" w:rsidRPr="00225DEA" w:rsidRDefault="008F4C1B" w:rsidP="00333B7F">
      <w:pPr>
        <w:spacing w:after="0" w:line="240" w:lineRule="auto"/>
        <w:ind w:left="284"/>
        <w:jc w:val="both"/>
        <w:rPr>
          <w:rFonts w:ascii="Arial" w:hAnsi="Arial" w:cs="Arial"/>
          <w:sz w:val="20"/>
          <w:szCs w:val="20"/>
        </w:rPr>
      </w:pPr>
      <w:r w:rsidRPr="008F4C1B">
        <w:rPr>
          <w:rFonts w:ascii="Arial" w:hAnsi="Arial" w:cs="Arial"/>
          <w:b/>
          <w:bCs/>
          <w:i/>
          <w:iCs/>
          <w:sz w:val="20"/>
          <w:szCs w:val="20"/>
        </w:rPr>
        <w:t>Art. 4 –</w:t>
      </w:r>
      <w:r>
        <w:rPr>
          <w:rFonts w:ascii="Arial" w:hAnsi="Arial" w:cs="Arial"/>
          <w:sz w:val="20"/>
          <w:szCs w:val="20"/>
        </w:rPr>
        <w:t xml:space="preserve"> </w:t>
      </w:r>
      <w:r w:rsidR="00225DEA" w:rsidRPr="00225DEA">
        <w:rPr>
          <w:rFonts w:ascii="Arial" w:hAnsi="Arial" w:cs="Arial"/>
          <w:sz w:val="20"/>
          <w:szCs w:val="20"/>
        </w:rPr>
        <w:t>Le transfert de la subvention annuelle non affectée allouée par l'Etat au profit de la collectivité locale est subordonnée à la réalisation des conditions minimales obligatoires et les résultats d’évaluation de sa performance sert de base pour régulariser le montant de la subvention mentionnée, et ce, selon le système d’évaluation indiqué dans le guide opérationnel adopté.</w:t>
      </w:r>
    </w:p>
    <w:p w14:paraId="02B4C749" w14:textId="77777777" w:rsidR="008F4C1B" w:rsidRDefault="008F4C1B" w:rsidP="00333B7F">
      <w:pPr>
        <w:spacing w:after="0" w:line="240" w:lineRule="auto"/>
        <w:ind w:left="284"/>
        <w:jc w:val="both"/>
        <w:rPr>
          <w:rFonts w:ascii="Arial" w:hAnsi="Arial" w:cs="Arial"/>
          <w:sz w:val="20"/>
          <w:szCs w:val="20"/>
        </w:rPr>
      </w:pPr>
    </w:p>
    <w:p w14:paraId="5089D0C0" w14:textId="0D01F9DD" w:rsidR="00225DEA" w:rsidRPr="00225DEA" w:rsidRDefault="00A37F30" w:rsidP="00333B7F">
      <w:pPr>
        <w:spacing w:after="0" w:line="240" w:lineRule="auto"/>
        <w:ind w:left="284"/>
        <w:jc w:val="both"/>
        <w:rPr>
          <w:rFonts w:ascii="Arial" w:hAnsi="Arial" w:cs="Arial"/>
          <w:sz w:val="20"/>
          <w:szCs w:val="20"/>
        </w:rPr>
      </w:pPr>
      <w:r w:rsidRPr="00A37F30">
        <w:rPr>
          <w:rFonts w:ascii="Arial" w:hAnsi="Arial" w:cs="Arial"/>
          <w:b/>
          <w:bCs/>
          <w:i/>
          <w:iCs/>
          <w:sz w:val="20"/>
          <w:szCs w:val="20"/>
        </w:rPr>
        <w:t>Art. 5 –</w:t>
      </w:r>
      <w:r>
        <w:rPr>
          <w:rFonts w:ascii="Arial" w:hAnsi="Arial" w:cs="Arial"/>
          <w:sz w:val="20"/>
          <w:szCs w:val="20"/>
        </w:rPr>
        <w:t xml:space="preserve"> </w:t>
      </w:r>
      <w:r w:rsidR="00225DEA" w:rsidRPr="00225DEA">
        <w:rPr>
          <w:rFonts w:ascii="Arial" w:hAnsi="Arial" w:cs="Arial"/>
          <w:sz w:val="20"/>
          <w:szCs w:val="20"/>
        </w:rPr>
        <w:t>La répartition annuelle de la subvention non affectée allouée par l'Etat au profit de la collectivité locale, est fixée selon les taux suivants :</w:t>
      </w:r>
    </w:p>
    <w:p w14:paraId="521A3116" w14:textId="77777777" w:rsidR="00225DEA" w:rsidRPr="00225DEA" w:rsidRDefault="00225DEA" w:rsidP="00333B7F">
      <w:pPr>
        <w:spacing w:after="0" w:line="240" w:lineRule="auto"/>
        <w:ind w:left="284"/>
        <w:jc w:val="both"/>
        <w:rPr>
          <w:rFonts w:ascii="Arial" w:hAnsi="Arial" w:cs="Arial"/>
          <w:sz w:val="20"/>
          <w:szCs w:val="20"/>
        </w:rPr>
      </w:pPr>
    </w:p>
    <w:tbl>
      <w:tblPr>
        <w:tblStyle w:val="Grilledutableau"/>
        <w:tblW w:w="0" w:type="auto"/>
        <w:tblInd w:w="284" w:type="dxa"/>
        <w:tblLook w:val="04A0" w:firstRow="1" w:lastRow="0" w:firstColumn="1" w:lastColumn="0" w:noHBand="0" w:noVBand="1"/>
      </w:tblPr>
      <w:tblGrid>
        <w:gridCol w:w="3652"/>
        <w:gridCol w:w="1134"/>
        <w:gridCol w:w="2976"/>
        <w:gridCol w:w="1806"/>
      </w:tblGrid>
      <w:tr w:rsidR="00333B7F" w:rsidRPr="00333B7F" w14:paraId="6BBF11A8" w14:textId="77777777" w:rsidTr="00DC7E44">
        <w:tc>
          <w:tcPr>
            <w:tcW w:w="3652" w:type="dxa"/>
            <w:vAlign w:val="center"/>
          </w:tcPr>
          <w:p w14:paraId="74FB44A3" w14:textId="77777777" w:rsidR="00333B7F" w:rsidRPr="00333B7F" w:rsidRDefault="00333B7F" w:rsidP="00DC7E44">
            <w:pPr>
              <w:spacing w:after="0" w:line="240" w:lineRule="auto"/>
              <w:jc w:val="center"/>
              <w:rPr>
                <w:rFonts w:ascii="Arial" w:hAnsi="Arial" w:cs="Arial"/>
                <w:b/>
                <w:bCs/>
                <w:sz w:val="20"/>
                <w:szCs w:val="20"/>
              </w:rPr>
            </w:pPr>
            <w:r w:rsidRPr="00333B7F">
              <w:rPr>
                <w:rFonts w:ascii="Arial" w:hAnsi="Arial" w:cs="Arial"/>
                <w:b/>
                <w:bCs/>
                <w:sz w:val="20"/>
                <w:szCs w:val="20"/>
              </w:rPr>
              <w:t>Année d’allocation de la subvention non affectée</w:t>
            </w:r>
          </w:p>
        </w:tc>
        <w:tc>
          <w:tcPr>
            <w:tcW w:w="1134" w:type="dxa"/>
            <w:vAlign w:val="center"/>
          </w:tcPr>
          <w:p w14:paraId="668510DB" w14:textId="77777777" w:rsidR="00333B7F" w:rsidRPr="00333B7F" w:rsidRDefault="00333B7F" w:rsidP="00DC7E44">
            <w:pPr>
              <w:spacing w:after="0" w:line="240" w:lineRule="auto"/>
              <w:jc w:val="center"/>
              <w:rPr>
                <w:rFonts w:ascii="Arial" w:hAnsi="Arial" w:cs="Arial"/>
                <w:b/>
                <w:bCs/>
                <w:sz w:val="20"/>
                <w:szCs w:val="20"/>
              </w:rPr>
            </w:pPr>
            <w:r w:rsidRPr="00333B7F">
              <w:rPr>
                <w:rFonts w:ascii="Arial" w:hAnsi="Arial" w:cs="Arial"/>
                <w:b/>
                <w:bCs/>
                <w:sz w:val="20"/>
                <w:szCs w:val="20"/>
              </w:rPr>
              <w:t>2016</w:t>
            </w:r>
          </w:p>
        </w:tc>
        <w:tc>
          <w:tcPr>
            <w:tcW w:w="2976" w:type="dxa"/>
            <w:vAlign w:val="center"/>
          </w:tcPr>
          <w:p w14:paraId="19E49447" w14:textId="77777777" w:rsidR="00333B7F" w:rsidRPr="00333B7F" w:rsidRDefault="00333B7F" w:rsidP="00DC7E44">
            <w:pPr>
              <w:spacing w:after="0" w:line="240" w:lineRule="auto"/>
              <w:jc w:val="center"/>
              <w:rPr>
                <w:rFonts w:ascii="Arial" w:hAnsi="Arial" w:cs="Arial"/>
                <w:b/>
                <w:bCs/>
                <w:sz w:val="20"/>
                <w:szCs w:val="20"/>
              </w:rPr>
            </w:pPr>
            <w:r w:rsidRPr="00333B7F">
              <w:rPr>
                <w:rFonts w:ascii="Arial" w:hAnsi="Arial" w:cs="Arial"/>
                <w:b/>
                <w:bCs/>
                <w:sz w:val="20"/>
                <w:szCs w:val="20"/>
              </w:rPr>
              <w:t>2017</w:t>
            </w:r>
          </w:p>
        </w:tc>
        <w:tc>
          <w:tcPr>
            <w:tcW w:w="1806" w:type="dxa"/>
            <w:vAlign w:val="center"/>
          </w:tcPr>
          <w:p w14:paraId="71191ECA" w14:textId="77777777" w:rsidR="00333B7F" w:rsidRPr="00333B7F" w:rsidRDefault="00333B7F" w:rsidP="00DC7E44">
            <w:pPr>
              <w:spacing w:after="0" w:line="240" w:lineRule="auto"/>
              <w:jc w:val="center"/>
              <w:rPr>
                <w:rFonts w:ascii="Arial" w:hAnsi="Arial" w:cs="Arial"/>
                <w:b/>
                <w:bCs/>
                <w:sz w:val="20"/>
                <w:szCs w:val="20"/>
              </w:rPr>
            </w:pPr>
            <w:r w:rsidRPr="00333B7F">
              <w:rPr>
                <w:rFonts w:ascii="Arial" w:hAnsi="Arial" w:cs="Arial"/>
                <w:b/>
                <w:bCs/>
                <w:sz w:val="20"/>
                <w:szCs w:val="20"/>
              </w:rPr>
              <w:t>A partir de 2018</w:t>
            </w:r>
          </w:p>
        </w:tc>
      </w:tr>
      <w:tr w:rsidR="00333B7F" w:rsidRPr="00333B7F" w14:paraId="2EA3E326" w14:textId="77777777" w:rsidTr="00DC7E44">
        <w:tc>
          <w:tcPr>
            <w:tcW w:w="3652" w:type="dxa"/>
            <w:vAlign w:val="center"/>
          </w:tcPr>
          <w:p w14:paraId="670430D0" w14:textId="063AAC7B" w:rsidR="00333B7F" w:rsidRPr="00333B7F" w:rsidRDefault="00333B7F" w:rsidP="00DC7E44">
            <w:pPr>
              <w:spacing w:after="0" w:line="240" w:lineRule="auto"/>
              <w:rPr>
                <w:rFonts w:ascii="Arial" w:hAnsi="Arial" w:cs="Arial"/>
                <w:sz w:val="20"/>
                <w:szCs w:val="20"/>
              </w:rPr>
            </w:pPr>
            <w:r w:rsidRPr="005F5A31">
              <w:rPr>
                <w:rFonts w:ascii="Arial" w:hAnsi="Arial" w:cs="Arial"/>
                <w:sz w:val="20"/>
                <w:szCs w:val="20"/>
              </w:rPr>
              <w:t>Taux lié à la réalisation des conditions minimales obligatoires 100%</w:t>
            </w:r>
          </w:p>
        </w:tc>
        <w:tc>
          <w:tcPr>
            <w:tcW w:w="1134" w:type="dxa"/>
            <w:vAlign w:val="center"/>
          </w:tcPr>
          <w:p w14:paraId="26D18EBB" w14:textId="771F5D42" w:rsidR="00333B7F" w:rsidRPr="00333B7F" w:rsidRDefault="00333B7F" w:rsidP="00DC7E44">
            <w:pPr>
              <w:tabs>
                <w:tab w:val="center" w:pos="1084"/>
              </w:tabs>
              <w:spacing w:after="0" w:line="240" w:lineRule="auto"/>
              <w:jc w:val="center"/>
              <w:rPr>
                <w:rFonts w:ascii="Arial" w:hAnsi="Arial" w:cs="Arial"/>
                <w:sz w:val="20"/>
                <w:szCs w:val="20"/>
              </w:rPr>
            </w:pPr>
            <w:r>
              <w:rPr>
                <w:rFonts w:ascii="Arial" w:hAnsi="Arial" w:cs="Arial"/>
                <w:sz w:val="20"/>
                <w:szCs w:val="20"/>
              </w:rPr>
              <w:t>100%</w:t>
            </w:r>
          </w:p>
        </w:tc>
        <w:tc>
          <w:tcPr>
            <w:tcW w:w="2976" w:type="dxa"/>
            <w:vAlign w:val="center"/>
          </w:tcPr>
          <w:p w14:paraId="505D5661" w14:textId="0949991A" w:rsidR="00333B7F" w:rsidRPr="00333B7F" w:rsidRDefault="00333B7F" w:rsidP="00DC7E44">
            <w:pPr>
              <w:spacing w:after="0" w:line="240" w:lineRule="auto"/>
              <w:jc w:val="center"/>
              <w:rPr>
                <w:rFonts w:ascii="Arial" w:hAnsi="Arial" w:cs="Arial"/>
                <w:sz w:val="20"/>
                <w:szCs w:val="20"/>
              </w:rPr>
            </w:pPr>
            <w:r>
              <w:rPr>
                <w:rFonts w:ascii="Arial" w:hAnsi="Arial" w:cs="Arial"/>
                <w:sz w:val="20"/>
                <w:szCs w:val="20"/>
              </w:rPr>
              <w:t>100%</w:t>
            </w:r>
          </w:p>
        </w:tc>
        <w:tc>
          <w:tcPr>
            <w:tcW w:w="1806" w:type="dxa"/>
            <w:vAlign w:val="center"/>
          </w:tcPr>
          <w:p w14:paraId="27C794CA" w14:textId="6783321D" w:rsidR="00333B7F" w:rsidRPr="00333B7F" w:rsidRDefault="00333B7F" w:rsidP="00DC7E44">
            <w:pPr>
              <w:spacing w:after="0" w:line="240" w:lineRule="auto"/>
              <w:jc w:val="center"/>
              <w:rPr>
                <w:rFonts w:ascii="Arial" w:hAnsi="Arial" w:cs="Arial"/>
                <w:sz w:val="20"/>
                <w:szCs w:val="20"/>
              </w:rPr>
            </w:pPr>
            <w:r>
              <w:rPr>
                <w:rFonts w:ascii="Arial" w:hAnsi="Arial" w:cs="Arial"/>
                <w:sz w:val="20"/>
                <w:szCs w:val="20"/>
              </w:rPr>
              <w:t>50%</w:t>
            </w:r>
          </w:p>
        </w:tc>
      </w:tr>
      <w:tr w:rsidR="00333B7F" w:rsidRPr="00333B7F" w14:paraId="01B1A33D" w14:textId="77777777" w:rsidTr="00DC7E44">
        <w:tc>
          <w:tcPr>
            <w:tcW w:w="3652" w:type="dxa"/>
            <w:vAlign w:val="center"/>
          </w:tcPr>
          <w:p w14:paraId="074AE9DF" w14:textId="6CBEAC7E" w:rsidR="00333B7F" w:rsidRPr="00333B7F" w:rsidRDefault="00333B7F" w:rsidP="00DC7E44">
            <w:pPr>
              <w:spacing w:after="0" w:line="240" w:lineRule="auto"/>
              <w:rPr>
                <w:rFonts w:ascii="Arial" w:hAnsi="Arial" w:cs="Arial"/>
                <w:sz w:val="20"/>
                <w:szCs w:val="20"/>
              </w:rPr>
            </w:pPr>
            <w:r w:rsidRPr="00EB1415">
              <w:rPr>
                <w:rFonts w:ascii="Arial" w:hAnsi="Arial" w:cs="Arial"/>
                <w:sz w:val="20"/>
                <w:szCs w:val="20"/>
              </w:rPr>
              <w:t>Taux lié à l’atteinte du seuil de 70% des points au titre de l’évaluation de la performance -</w:t>
            </w:r>
          </w:p>
        </w:tc>
        <w:tc>
          <w:tcPr>
            <w:tcW w:w="1134" w:type="dxa"/>
            <w:vAlign w:val="center"/>
          </w:tcPr>
          <w:p w14:paraId="5FFAC8BB" w14:textId="668788CC" w:rsidR="00333B7F" w:rsidRPr="00333B7F" w:rsidRDefault="00333B7F" w:rsidP="00DC7E44">
            <w:pPr>
              <w:spacing w:after="0" w:line="240" w:lineRule="auto"/>
              <w:jc w:val="center"/>
              <w:rPr>
                <w:rFonts w:ascii="Arial" w:hAnsi="Arial" w:cs="Arial"/>
                <w:b/>
                <w:bCs/>
                <w:sz w:val="20"/>
                <w:szCs w:val="20"/>
              </w:rPr>
            </w:pPr>
            <w:r w:rsidRPr="00333B7F">
              <w:rPr>
                <w:rFonts w:ascii="Arial" w:hAnsi="Arial" w:cs="Arial"/>
                <w:b/>
                <w:bCs/>
                <w:sz w:val="20"/>
                <w:szCs w:val="20"/>
              </w:rPr>
              <w:t>-</w:t>
            </w:r>
          </w:p>
        </w:tc>
        <w:tc>
          <w:tcPr>
            <w:tcW w:w="2976" w:type="dxa"/>
            <w:vAlign w:val="center"/>
          </w:tcPr>
          <w:p w14:paraId="32F39B08" w14:textId="680A0623" w:rsidR="00333B7F" w:rsidRPr="00333B7F" w:rsidRDefault="00333B7F" w:rsidP="00DC7E44">
            <w:pPr>
              <w:spacing w:after="0" w:line="240" w:lineRule="auto"/>
              <w:jc w:val="center"/>
              <w:rPr>
                <w:rFonts w:ascii="Arial" w:hAnsi="Arial" w:cs="Arial"/>
                <w:sz w:val="20"/>
                <w:szCs w:val="20"/>
              </w:rPr>
            </w:pPr>
            <w:r w:rsidRPr="00EB1415">
              <w:rPr>
                <w:rFonts w:ascii="Arial" w:hAnsi="Arial" w:cs="Arial"/>
                <w:sz w:val="20"/>
                <w:szCs w:val="20"/>
              </w:rPr>
              <w:t>Une évaluation effective, ses résultats servent pour l'année 2018</w:t>
            </w:r>
          </w:p>
        </w:tc>
        <w:tc>
          <w:tcPr>
            <w:tcW w:w="1806" w:type="dxa"/>
            <w:vAlign w:val="center"/>
          </w:tcPr>
          <w:p w14:paraId="468F475D" w14:textId="4B390BD3" w:rsidR="00333B7F" w:rsidRPr="00333B7F" w:rsidRDefault="00333B7F" w:rsidP="00DC7E44">
            <w:pPr>
              <w:spacing w:after="0" w:line="240" w:lineRule="auto"/>
              <w:jc w:val="center"/>
              <w:rPr>
                <w:rFonts w:ascii="Arial" w:hAnsi="Arial" w:cs="Arial"/>
                <w:sz w:val="20"/>
                <w:szCs w:val="20"/>
              </w:rPr>
            </w:pPr>
            <w:r>
              <w:rPr>
                <w:rFonts w:ascii="Arial" w:hAnsi="Arial" w:cs="Arial"/>
                <w:sz w:val="20"/>
                <w:szCs w:val="20"/>
              </w:rPr>
              <w:t>50%</w:t>
            </w:r>
          </w:p>
        </w:tc>
      </w:tr>
    </w:tbl>
    <w:p w14:paraId="33AFAB3F" w14:textId="1DC35145" w:rsidR="00225DEA" w:rsidRPr="00225DEA" w:rsidRDefault="00225DEA" w:rsidP="00333B7F">
      <w:pPr>
        <w:spacing w:after="0" w:line="240" w:lineRule="auto"/>
        <w:ind w:left="284"/>
        <w:jc w:val="both"/>
        <w:rPr>
          <w:rFonts w:ascii="Arial" w:hAnsi="Arial" w:cs="Arial"/>
          <w:sz w:val="20"/>
          <w:szCs w:val="20"/>
        </w:rPr>
      </w:pPr>
    </w:p>
    <w:p w14:paraId="722C2200" w14:textId="3AAEAE7B" w:rsidR="00225DEA" w:rsidRPr="00225DEA" w:rsidRDefault="00A33EB8" w:rsidP="00333B7F">
      <w:pPr>
        <w:spacing w:before="120" w:after="0" w:line="240" w:lineRule="auto"/>
        <w:ind w:left="284"/>
        <w:jc w:val="both"/>
        <w:rPr>
          <w:rFonts w:ascii="Arial" w:hAnsi="Arial" w:cs="Arial"/>
          <w:sz w:val="20"/>
          <w:szCs w:val="20"/>
        </w:rPr>
      </w:pPr>
      <w:r w:rsidRPr="00A33EB8">
        <w:rPr>
          <w:rFonts w:ascii="Arial" w:hAnsi="Arial" w:cs="Arial"/>
          <w:b/>
          <w:bCs/>
          <w:i/>
          <w:iCs/>
          <w:sz w:val="20"/>
          <w:szCs w:val="20"/>
        </w:rPr>
        <w:t>Art. 6 –</w:t>
      </w:r>
      <w:r>
        <w:rPr>
          <w:rFonts w:ascii="Arial" w:hAnsi="Arial" w:cs="Arial"/>
          <w:sz w:val="20"/>
          <w:szCs w:val="20"/>
        </w:rPr>
        <w:t xml:space="preserve"> </w:t>
      </w:r>
      <w:r w:rsidR="00225DEA" w:rsidRPr="00225DEA">
        <w:rPr>
          <w:rFonts w:ascii="Arial" w:hAnsi="Arial" w:cs="Arial"/>
          <w:sz w:val="20"/>
          <w:szCs w:val="20"/>
        </w:rPr>
        <w:t xml:space="preserve">Le score final atteint par la collectivité locale au titre de l’évaluation des performances au cours de l’année effective d’évaluation, sert de base au calcul de sa part de subvention non affectée pour l’année suivante. </w:t>
      </w:r>
    </w:p>
    <w:p w14:paraId="222140F4" w14:textId="77777777" w:rsidR="00225DEA" w:rsidRPr="00225DEA" w:rsidRDefault="00225DEA" w:rsidP="00333B7F">
      <w:pPr>
        <w:spacing w:before="120" w:after="0" w:line="240" w:lineRule="auto"/>
        <w:ind w:left="284"/>
        <w:jc w:val="both"/>
        <w:rPr>
          <w:rFonts w:ascii="Arial" w:hAnsi="Arial" w:cs="Arial"/>
          <w:sz w:val="20"/>
          <w:szCs w:val="20"/>
        </w:rPr>
      </w:pPr>
      <w:r w:rsidRPr="00225DEA">
        <w:rPr>
          <w:rFonts w:ascii="Arial" w:hAnsi="Arial" w:cs="Arial"/>
          <w:sz w:val="20"/>
          <w:szCs w:val="20"/>
        </w:rPr>
        <w:t>Si la collectivité locale n’a pas atteint le seuil de 70% des points au titre d’évaluation des performances au cours de l’année effective d’évaluation, l’affectation de sa part de subvention non affectée, sera reporté pour une seule année, sous réserve des dispositions de l’article 4 du présent arrêté .</w:t>
      </w:r>
    </w:p>
    <w:p w14:paraId="5A687ADA" w14:textId="77777777" w:rsidR="00A33EB8" w:rsidRDefault="00A33EB8" w:rsidP="00333B7F">
      <w:pPr>
        <w:spacing w:after="0" w:line="240" w:lineRule="auto"/>
        <w:ind w:left="284"/>
        <w:jc w:val="both"/>
        <w:rPr>
          <w:rFonts w:ascii="Arial" w:hAnsi="Arial" w:cs="Arial"/>
          <w:sz w:val="20"/>
          <w:szCs w:val="20"/>
        </w:rPr>
      </w:pPr>
    </w:p>
    <w:p w14:paraId="70C59A4B" w14:textId="063DEC39" w:rsidR="00225DEA" w:rsidRPr="00225DEA" w:rsidRDefault="00A33EB8" w:rsidP="00333B7F">
      <w:pPr>
        <w:spacing w:after="0" w:line="240" w:lineRule="auto"/>
        <w:ind w:left="284"/>
        <w:jc w:val="both"/>
        <w:rPr>
          <w:rFonts w:ascii="Arial" w:hAnsi="Arial" w:cs="Arial"/>
          <w:sz w:val="20"/>
          <w:szCs w:val="20"/>
        </w:rPr>
      </w:pPr>
      <w:r w:rsidRPr="0080167D">
        <w:rPr>
          <w:rFonts w:ascii="Arial" w:hAnsi="Arial" w:cs="Arial"/>
          <w:b/>
          <w:bCs/>
          <w:i/>
          <w:iCs/>
          <w:sz w:val="20"/>
          <w:szCs w:val="20"/>
        </w:rPr>
        <w:t>Art. 7 –</w:t>
      </w:r>
      <w:r>
        <w:rPr>
          <w:rFonts w:ascii="Arial" w:hAnsi="Arial" w:cs="Arial"/>
          <w:sz w:val="20"/>
          <w:szCs w:val="20"/>
        </w:rPr>
        <w:t xml:space="preserve"> </w:t>
      </w:r>
      <w:r w:rsidR="00225DEA" w:rsidRPr="00225DEA">
        <w:rPr>
          <w:rFonts w:ascii="Arial" w:hAnsi="Arial" w:cs="Arial"/>
          <w:sz w:val="20"/>
          <w:szCs w:val="20"/>
        </w:rPr>
        <w:t>Le calendrier annuel de l'évaluation des performances de la collectivité locale, ses étapes, ses procédures et le rôle des intervenants est fixé comme suit :</w:t>
      </w:r>
    </w:p>
    <w:p w14:paraId="67BD1E4A" w14:textId="4E735BE9" w:rsidR="00225DEA" w:rsidRPr="00333B7F" w:rsidRDefault="00225DEA" w:rsidP="00333B7F">
      <w:pPr>
        <w:pStyle w:val="Paragraphedeliste"/>
        <w:numPr>
          <w:ilvl w:val="0"/>
          <w:numId w:val="35"/>
        </w:numPr>
        <w:spacing w:before="120" w:after="0" w:line="240" w:lineRule="auto"/>
        <w:ind w:left="927"/>
        <w:jc w:val="both"/>
        <w:rPr>
          <w:rFonts w:ascii="Arial" w:hAnsi="Arial" w:cs="Arial"/>
          <w:b/>
          <w:bCs/>
          <w:sz w:val="20"/>
          <w:szCs w:val="20"/>
        </w:rPr>
      </w:pPr>
      <w:r w:rsidRPr="00333B7F">
        <w:rPr>
          <w:rFonts w:ascii="Arial" w:hAnsi="Arial" w:cs="Arial"/>
          <w:b/>
          <w:bCs/>
          <w:sz w:val="20"/>
          <w:szCs w:val="20"/>
        </w:rPr>
        <w:t>L'annonce du lancement du processus de l'évaluation :</w:t>
      </w:r>
    </w:p>
    <w:p w14:paraId="5D3FDE37" w14:textId="77777777" w:rsidR="00225DEA" w:rsidRPr="00225DEA" w:rsidRDefault="00225DEA" w:rsidP="00333B7F">
      <w:pPr>
        <w:spacing w:before="120" w:after="0" w:line="240" w:lineRule="auto"/>
        <w:ind w:left="284"/>
        <w:jc w:val="both"/>
        <w:rPr>
          <w:rFonts w:ascii="Arial" w:hAnsi="Arial" w:cs="Arial"/>
          <w:sz w:val="20"/>
          <w:szCs w:val="20"/>
        </w:rPr>
      </w:pPr>
      <w:r w:rsidRPr="00225DEA">
        <w:rPr>
          <w:rFonts w:ascii="Arial" w:hAnsi="Arial" w:cs="Arial"/>
          <w:sz w:val="20"/>
          <w:szCs w:val="20"/>
        </w:rPr>
        <w:t>Au cours du mois de février de chaque année, la direction générale des collectivités locales informe les collectivités locales du lancement du processus d'évaluation de leurs performances.</w:t>
      </w:r>
    </w:p>
    <w:p w14:paraId="763CBBF1" w14:textId="0E7101A8" w:rsidR="00225DEA" w:rsidRPr="00333B7F" w:rsidRDefault="00225DEA" w:rsidP="00333B7F">
      <w:pPr>
        <w:pStyle w:val="Paragraphedeliste"/>
        <w:numPr>
          <w:ilvl w:val="0"/>
          <w:numId w:val="35"/>
        </w:numPr>
        <w:spacing w:before="120" w:after="0" w:line="240" w:lineRule="auto"/>
        <w:ind w:left="927"/>
        <w:jc w:val="both"/>
        <w:rPr>
          <w:rFonts w:ascii="Arial" w:hAnsi="Arial" w:cs="Arial"/>
          <w:b/>
          <w:bCs/>
          <w:sz w:val="20"/>
          <w:szCs w:val="20"/>
        </w:rPr>
      </w:pPr>
      <w:r w:rsidRPr="00333B7F">
        <w:rPr>
          <w:rFonts w:ascii="Arial" w:hAnsi="Arial" w:cs="Arial"/>
          <w:b/>
          <w:bCs/>
          <w:sz w:val="20"/>
          <w:szCs w:val="20"/>
        </w:rPr>
        <w:t>Le dépôt du dossier d'évaluation :</w:t>
      </w:r>
    </w:p>
    <w:p w14:paraId="13031632" w14:textId="38C572DC" w:rsidR="00225DEA" w:rsidRPr="00225DEA" w:rsidRDefault="00225DEA" w:rsidP="00333B7F">
      <w:pPr>
        <w:spacing w:before="120" w:after="0" w:line="240" w:lineRule="auto"/>
        <w:ind w:left="284"/>
        <w:jc w:val="both"/>
        <w:rPr>
          <w:rFonts w:ascii="Arial" w:hAnsi="Arial" w:cs="Arial"/>
          <w:sz w:val="20"/>
          <w:szCs w:val="20"/>
        </w:rPr>
      </w:pPr>
      <w:r w:rsidRPr="00225DEA">
        <w:rPr>
          <w:rFonts w:ascii="Arial" w:hAnsi="Arial" w:cs="Arial"/>
          <w:sz w:val="20"/>
          <w:szCs w:val="20"/>
        </w:rPr>
        <w:t>Au plus tard à la fin du mois de mars, la collectivité locale dépose auprès du corps de contrôle général des services publics son dossier d’évaluation de la performance, suivant le modèle indiqué dans le guide opérationnel adopté accompagné des documents et pièces justificatives obligatoires.</w:t>
      </w:r>
    </w:p>
    <w:p w14:paraId="78774990" w14:textId="77777777" w:rsidR="00225DEA" w:rsidRPr="00225DEA" w:rsidRDefault="00225DEA" w:rsidP="00333B7F">
      <w:pPr>
        <w:spacing w:before="120" w:after="0" w:line="240" w:lineRule="auto"/>
        <w:ind w:left="284"/>
        <w:jc w:val="both"/>
        <w:rPr>
          <w:rFonts w:ascii="Arial" w:hAnsi="Arial" w:cs="Arial"/>
          <w:sz w:val="20"/>
          <w:szCs w:val="20"/>
        </w:rPr>
      </w:pPr>
      <w:r w:rsidRPr="00225DEA">
        <w:rPr>
          <w:rFonts w:ascii="Arial" w:hAnsi="Arial" w:cs="Arial"/>
          <w:sz w:val="20"/>
          <w:szCs w:val="20"/>
        </w:rPr>
        <w:t>Toute soumission tardive du dossier après l’expiration du délai incitatif mentionné entraîne les procédures suivantes :</w:t>
      </w:r>
    </w:p>
    <w:p w14:paraId="134E0B82" w14:textId="75DF9539" w:rsidR="00225DEA" w:rsidRPr="00333B7F" w:rsidRDefault="00225DEA" w:rsidP="00333B7F">
      <w:pPr>
        <w:pStyle w:val="Paragraphedeliste"/>
        <w:numPr>
          <w:ilvl w:val="0"/>
          <w:numId w:val="40"/>
        </w:numPr>
        <w:spacing w:before="120" w:after="0" w:line="240" w:lineRule="auto"/>
        <w:ind w:left="1267"/>
        <w:jc w:val="both"/>
        <w:rPr>
          <w:rFonts w:ascii="Arial" w:hAnsi="Arial" w:cs="Arial"/>
          <w:sz w:val="20"/>
          <w:szCs w:val="20"/>
        </w:rPr>
      </w:pPr>
      <w:r w:rsidRPr="00333B7F">
        <w:rPr>
          <w:rFonts w:ascii="Arial" w:hAnsi="Arial" w:cs="Arial"/>
          <w:sz w:val="20"/>
          <w:szCs w:val="20"/>
        </w:rPr>
        <w:t xml:space="preserve">Une déduction de cinq (5) points, si la demande est déposée après le 15 avril. </w:t>
      </w:r>
    </w:p>
    <w:p w14:paraId="341C26CF" w14:textId="0A2087E8" w:rsidR="00225DEA" w:rsidRPr="00333B7F" w:rsidRDefault="00225DEA" w:rsidP="00333B7F">
      <w:pPr>
        <w:pStyle w:val="Paragraphedeliste"/>
        <w:numPr>
          <w:ilvl w:val="0"/>
          <w:numId w:val="40"/>
        </w:numPr>
        <w:spacing w:before="120" w:after="0" w:line="240" w:lineRule="auto"/>
        <w:ind w:left="1267"/>
        <w:jc w:val="both"/>
        <w:rPr>
          <w:rFonts w:ascii="Arial" w:hAnsi="Arial" w:cs="Arial"/>
          <w:sz w:val="20"/>
          <w:szCs w:val="20"/>
        </w:rPr>
      </w:pPr>
      <w:r w:rsidRPr="00333B7F">
        <w:rPr>
          <w:rFonts w:ascii="Arial" w:hAnsi="Arial" w:cs="Arial"/>
          <w:sz w:val="20"/>
          <w:szCs w:val="20"/>
        </w:rPr>
        <w:t>Une exclusion du bénéfice de la subvention annuelle non affectée, si la demande est déposée après le 1er mai, sous réserves des dispositions de l’article 6 du présent arrêté.</w:t>
      </w:r>
    </w:p>
    <w:p w14:paraId="3709AFF6" w14:textId="1D0A97D0" w:rsidR="00225DEA" w:rsidRPr="00333B7F" w:rsidRDefault="00225DEA" w:rsidP="00333B7F">
      <w:pPr>
        <w:pStyle w:val="Paragraphedeliste"/>
        <w:numPr>
          <w:ilvl w:val="0"/>
          <w:numId w:val="35"/>
        </w:numPr>
        <w:spacing w:before="120" w:after="0" w:line="240" w:lineRule="auto"/>
        <w:ind w:left="927"/>
        <w:jc w:val="both"/>
        <w:rPr>
          <w:rFonts w:ascii="Arial" w:hAnsi="Arial" w:cs="Arial"/>
          <w:b/>
          <w:bCs/>
          <w:sz w:val="20"/>
          <w:szCs w:val="20"/>
        </w:rPr>
      </w:pPr>
      <w:r w:rsidRPr="00333B7F">
        <w:rPr>
          <w:rFonts w:ascii="Arial" w:hAnsi="Arial" w:cs="Arial"/>
          <w:b/>
          <w:bCs/>
          <w:sz w:val="20"/>
          <w:szCs w:val="20"/>
        </w:rPr>
        <w:t xml:space="preserve">L’évaluation sur dossiers et l’affectation des notes préliminaires : </w:t>
      </w:r>
    </w:p>
    <w:p w14:paraId="09B04544" w14:textId="1238EB52" w:rsidR="00225DEA" w:rsidRPr="00225DEA" w:rsidRDefault="00225DEA" w:rsidP="00333B7F">
      <w:pPr>
        <w:spacing w:before="120" w:after="0" w:line="240" w:lineRule="auto"/>
        <w:ind w:left="284"/>
        <w:jc w:val="both"/>
        <w:rPr>
          <w:rFonts w:ascii="Arial" w:hAnsi="Arial" w:cs="Arial"/>
          <w:sz w:val="20"/>
          <w:szCs w:val="20"/>
        </w:rPr>
      </w:pPr>
      <w:r w:rsidRPr="00225DEA">
        <w:rPr>
          <w:rFonts w:ascii="Arial" w:hAnsi="Arial" w:cs="Arial"/>
          <w:sz w:val="20"/>
          <w:szCs w:val="20"/>
        </w:rPr>
        <w:t>Au cours de la période avril - mai, le corps du contrôle général des services publics étudie les dossiers d'évaluation présentés par les collectivités locales et leurs accorde des notes préliminaires.</w:t>
      </w:r>
    </w:p>
    <w:p w14:paraId="4A5DED76" w14:textId="40402101" w:rsidR="00225DEA" w:rsidRPr="00333B7F" w:rsidRDefault="00225DEA" w:rsidP="00333B7F">
      <w:pPr>
        <w:pStyle w:val="Paragraphedeliste"/>
        <w:numPr>
          <w:ilvl w:val="0"/>
          <w:numId w:val="35"/>
        </w:numPr>
        <w:spacing w:before="120" w:after="0" w:line="240" w:lineRule="auto"/>
        <w:ind w:left="927"/>
        <w:jc w:val="both"/>
        <w:rPr>
          <w:rFonts w:ascii="Arial" w:hAnsi="Arial" w:cs="Arial"/>
          <w:b/>
          <w:bCs/>
          <w:sz w:val="20"/>
          <w:szCs w:val="20"/>
        </w:rPr>
      </w:pPr>
      <w:r w:rsidRPr="00333B7F">
        <w:rPr>
          <w:rFonts w:ascii="Arial" w:hAnsi="Arial" w:cs="Arial"/>
          <w:b/>
          <w:bCs/>
          <w:sz w:val="20"/>
          <w:szCs w:val="20"/>
        </w:rPr>
        <w:t>L’évaluation sur le terrain et l'annonce des notes préliminaires :</w:t>
      </w:r>
    </w:p>
    <w:p w14:paraId="106BA4B5" w14:textId="1AE85A3D" w:rsidR="00225DEA" w:rsidRPr="00333B7F" w:rsidRDefault="00225DEA" w:rsidP="00333B7F">
      <w:pPr>
        <w:spacing w:before="120" w:after="0" w:line="240" w:lineRule="auto"/>
        <w:jc w:val="both"/>
        <w:rPr>
          <w:rFonts w:ascii="Arial" w:hAnsi="Arial" w:cs="Arial"/>
          <w:sz w:val="20"/>
          <w:szCs w:val="20"/>
        </w:rPr>
      </w:pPr>
      <w:r w:rsidRPr="00333B7F">
        <w:rPr>
          <w:rFonts w:ascii="Arial" w:hAnsi="Arial" w:cs="Arial"/>
          <w:sz w:val="20"/>
          <w:szCs w:val="20"/>
        </w:rPr>
        <w:t>Au cours du mois de juin, le corps du contrôle général des services publics réalise sur la base d’un échantillon de collectivités locales un audit de terrain pour vérifier l’exactitude des données et pièces justificatives contenues dans les dossiers d’évaluation fournis par les collectivités locales.</w:t>
      </w:r>
    </w:p>
    <w:p w14:paraId="0C9A6942" w14:textId="56AC01F7" w:rsidR="00225DEA" w:rsidRPr="00333B7F" w:rsidRDefault="00225DEA" w:rsidP="00333B7F">
      <w:pPr>
        <w:pStyle w:val="Paragraphedeliste"/>
        <w:numPr>
          <w:ilvl w:val="0"/>
          <w:numId w:val="38"/>
        </w:numPr>
        <w:spacing w:before="120" w:after="0" w:line="240" w:lineRule="auto"/>
        <w:ind w:left="1267"/>
        <w:jc w:val="both"/>
        <w:rPr>
          <w:rFonts w:ascii="Arial" w:hAnsi="Arial" w:cs="Arial"/>
          <w:sz w:val="20"/>
          <w:szCs w:val="20"/>
        </w:rPr>
      </w:pPr>
      <w:r w:rsidRPr="00333B7F">
        <w:rPr>
          <w:rFonts w:ascii="Arial" w:hAnsi="Arial" w:cs="Arial"/>
          <w:sz w:val="20"/>
          <w:szCs w:val="20"/>
        </w:rPr>
        <w:t>Toute fausse déclaration mise en évidence par cet audit de terrain par le corps du contrôle des services publics à l’égard de la loi entraîne :</w:t>
      </w:r>
    </w:p>
    <w:p w14:paraId="1AC4B09E" w14:textId="5447946C" w:rsidR="00225DEA" w:rsidRPr="00333B7F" w:rsidRDefault="00225DEA" w:rsidP="00333B7F">
      <w:pPr>
        <w:pStyle w:val="Paragraphedeliste"/>
        <w:numPr>
          <w:ilvl w:val="0"/>
          <w:numId w:val="38"/>
        </w:numPr>
        <w:spacing w:before="120" w:after="0" w:line="240" w:lineRule="auto"/>
        <w:ind w:left="1267"/>
        <w:jc w:val="both"/>
        <w:rPr>
          <w:rFonts w:ascii="Arial" w:hAnsi="Arial" w:cs="Arial"/>
          <w:sz w:val="20"/>
          <w:szCs w:val="20"/>
        </w:rPr>
      </w:pPr>
      <w:r w:rsidRPr="00333B7F">
        <w:rPr>
          <w:rFonts w:ascii="Arial" w:hAnsi="Arial" w:cs="Arial"/>
          <w:sz w:val="20"/>
          <w:szCs w:val="20"/>
        </w:rPr>
        <w:t xml:space="preserve">Une correction des notes préliminaires accordées pour refléter leurs situations réelles, </w:t>
      </w:r>
    </w:p>
    <w:p w14:paraId="06B85440" w14:textId="724AB1DD" w:rsidR="00225DEA" w:rsidRPr="00333B7F" w:rsidRDefault="00225DEA" w:rsidP="00333B7F">
      <w:pPr>
        <w:pStyle w:val="Paragraphedeliste"/>
        <w:numPr>
          <w:ilvl w:val="0"/>
          <w:numId w:val="38"/>
        </w:numPr>
        <w:spacing w:before="120" w:after="0" w:line="240" w:lineRule="auto"/>
        <w:ind w:left="1267"/>
        <w:jc w:val="both"/>
        <w:rPr>
          <w:rFonts w:ascii="Arial" w:hAnsi="Arial" w:cs="Arial"/>
          <w:sz w:val="20"/>
          <w:szCs w:val="20"/>
        </w:rPr>
      </w:pPr>
      <w:r w:rsidRPr="00333B7F">
        <w:rPr>
          <w:rFonts w:ascii="Arial" w:hAnsi="Arial" w:cs="Arial"/>
          <w:sz w:val="20"/>
          <w:szCs w:val="20"/>
        </w:rPr>
        <w:t xml:space="preserve">Une déduction de dix (10) points du score total calculé après cette correction. </w:t>
      </w:r>
    </w:p>
    <w:p w14:paraId="6884CD3A" w14:textId="004AED4C" w:rsidR="00225DEA" w:rsidRPr="00333B7F" w:rsidRDefault="00225DEA" w:rsidP="00333B7F">
      <w:pPr>
        <w:spacing w:before="120" w:after="0" w:line="240" w:lineRule="auto"/>
        <w:jc w:val="both"/>
        <w:rPr>
          <w:rFonts w:ascii="Arial" w:hAnsi="Arial" w:cs="Arial"/>
          <w:sz w:val="20"/>
          <w:szCs w:val="20"/>
        </w:rPr>
      </w:pPr>
      <w:r w:rsidRPr="00333B7F">
        <w:rPr>
          <w:rFonts w:ascii="Arial" w:hAnsi="Arial" w:cs="Arial"/>
          <w:sz w:val="20"/>
          <w:szCs w:val="20"/>
        </w:rPr>
        <w:t>Au terme de cet audit de terrain, le corps du contrôle général des services publics communique en juillet à la direction générale des collectivités locales, qui en informe les collectivités locales, les scores préliminaires d’évaluation de leurs performances.</w:t>
      </w:r>
    </w:p>
    <w:p w14:paraId="49C209D4" w14:textId="37B1C6EB" w:rsidR="00225DEA" w:rsidRPr="00333B7F" w:rsidRDefault="00225DEA" w:rsidP="00333B7F">
      <w:pPr>
        <w:pStyle w:val="Paragraphedeliste"/>
        <w:numPr>
          <w:ilvl w:val="0"/>
          <w:numId w:val="35"/>
        </w:numPr>
        <w:spacing w:before="120" w:after="0" w:line="240" w:lineRule="auto"/>
        <w:ind w:left="927"/>
        <w:jc w:val="both"/>
        <w:rPr>
          <w:rFonts w:ascii="Arial" w:hAnsi="Arial" w:cs="Arial"/>
          <w:b/>
          <w:bCs/>
          <w:sz w:val="20"/>
          <w:szCs w:val="20"/>
        </w:rPr>
      </w:pPr>
      <w:r w:rsidRPr="00333B7F">
        <w:rPr>
          <w:rFonts w:ascii="Arial" w:hAnsi="Arial" w:cs="Arial"/>
          <w:b/>
          <w:bCs/>
          <w:sz w:val="20"/>
          <w:szCs w:val="20"/>
        </w:rPr>
        <w:t>Demandes de révision :</w:t>
      </w:r>
    </w:p>
    <w:p w14:paraId="33FFE91A" w14:textId="77777777" w:rsidR="00225DEA" w:rsidRPr="00225DEA" w:rsidRDefault="00225DEA" w:rsidP="00333B7F">
      <w:pPr>
        <w:spacing w:before="120" w:after="0" w:line="240" w:lineRule="auto"/>
        <w:ind w:left="284"/>
        <w:jc w:val="both"/>
        <w:rPr>
          <w:rFonts w:ascii="Arial" w:hAnsi="Arial" w:cs="Arial"/>
          <w:sz w:val="20"/>
          <w:szCs w:val="20"/>
        </w:rPr>
      </w:pPr>
      <w:r w:rsidRPr="00225DEA">
        <w:rPr>
          <w:rFonts w:ascii="Arial" w:hAnsi="Arial" w:cs="Arial"/>
          <w:sz w:val="20"/>
          <w:szCs w:val="20"/>
        </w:rPr>
        <w:t>Chaque année, jusqu’au 15 août, chaque collectivité locale peut déposer auprès du corps du contrôle général des services publics une demande de révision de la note préliminaire qui lui a été accordée, appuyée par les pièces justificatives nécessaires.</w:t>
      </w:r>
    </w:p>
    <w:p w14:paraId="7B9E512D" w14:textId="77777777" w:rsidR="00225DEA" w:rsidRPr="00225DEA" w:rsidRDefault="00225DEA" w:rsidP="00333B7F">
      <w:pPr>
        <w:spacing w:before="120" w:after="0" w:line="240" w:lineRule="auto"/>
        <w:ind w:left="284"/>
        <w:jc w:val="both"/>
        <w:rPr>
          <w:rFonts w:ascii="Arial" w:hAnsi="Arial" w:cs="Arial"/>
          <w:sz w:val="20"/>
          <w:szCs w:val="20"/>
        </w:rPr>
      </w:pPr>
      <w:r w:rsidRPr="00225DEA">
        <w:rPr>
          <w:rFonts w:ascii="Arial" w:hAnsi="Arial" w:cs="Arial"/>
          <w:sz w:val="20"/>
          <w:szCs w:val="20"/>
        </w:rPr>
        <w:t xml:space="preserve">* L’évaluation finale : </w:t>
      </w:r>
    </w:p>
    <w:p w14:paraId="039D172C" w14:textId="36B36E99" w:rsidR="00225DEA" w:rsidRPr="00333B7F" w:rsidRDefault="00225DEA" w:rsidP="00333B7F">
      <w:pPr>
        <w:pStyle w:val="Paragraphedeliste"/>
        <w:numPr>
          <w:ilvl w:val="0"/>
          <w:numId w:val="36"/>
        </w:numPr>
        <w:spacing w:before="120" w:after="0" w:line="240" w:lineRule="auto"/>
        <w:ind w:left="1267"/>
        <w:jc w:val="both"/>
        <w:rPr>
          <w:rFonts w:ascii="Arial" w:hAnsi="Arial" w:cs="Arial"/>
          <w:sz w:val="20"/>
          <w:szCs w:val="20"/>
        </w:rPr>
      </w:pPr>
      <w:r w:rsidRPr="00333B7F">
        <w:rPr>
          <w:rFonts w:ascii="Arial" w:hAnsi="Arial" w:cs="Arial"/>
          <w:sz w:val="20"/>
          <w:szCs w:val="20"/>
        </w:rPr>
        <w:t>Au cours de la première moitié du mois de septembre, le corps du contrôle général des services publics établit un rapport de synthèse sur le processus annuel d'évaluation indiquant les notes définitives accordées aux collectivités locales accompagnées par ses observations et recommandations émises, qu’il le transmet à la commission interministérielle.</w:t>
      </w:r>
    </w:p>
    <w:p w14:paraId="3C8EB526" w14:textId="73894857" w:rsidR="00225DEA" w:rsidRPr="00333B7F" w:rsidRDefault="00225DEA" w:rsidP="00333B7F">
      <w:pPr>
        <w:pStyle w:val="Paragraphedeliste"/>
        <w:numPr>
          <w:ilvl w:val="0"/>
          <w:numId w:val="36"/>
        </w:numPr>
        <w:spacing w:before="120" w:after="0" w:line="240" w:lineRule="auto"/>
        <w:ind w:left="1267"/>
        <w:jc w:val="both"/>
        <w:rPr>
          <w:rFonts w:ascii="Arial" w:hAnsi="Arial" w:cs="Arial"/>
          <w:sz w:val="20"/>
          <w:szCs w:val="20"/>
        </w:rPr>
      </w:pPr>
      <w:r w:rsidRPr="00333B7F">
        <w:rPr>
          <w:rFonts w:ascii="Arial" w:hAnsi="Arial" w:cs="Arial"/>
          <w:sz w:val="20"/>
          <w:szCs w:val="20"/>
        </w:rPr>
        <w:t>Au plus tard à la fin du mois mentionné, la commission interministérielle délibère et examine ce rapport, le cas échéant, elle propose des ajustements nécessaires aux indicateurs de performance et le système de notation adopté.</w:t>
      </w:r>
    </w:p>
    <w:p w14:paraId="065B2DDE" w14:textId="77777777" w:rsidR="00AB0006" w:rsidRDefault="00AB0006" w:rsidP="00333B7F">
      <w:pPr>
        <w:spacing w:after="0" w:line="240" w:lineRule="auto"/>
        <w:ind w:left="284"/>
        <w:jc w:val="both"/>
        <w:rPr>
          <w:rFonts w:ascii="Arial" w:hAnsi="Arial" w:cs="Arial"/>
          <w:sz w:val="20"/>
          <w:szCs w:val="20"/>
        </w:rPr>
      </w:pPr>
    </w:p>
    <w:p w14:paraId="49C83531" w14:textId="1F3DAD3D" w:rsidR="00225DEA" w:rsidRPr="00225DEA" w:rsidRDefault="0080167D" w:rsidP="00333B7F">
      <w:pPr>
        <w:spacing w:after="0" w:line="240" w:lineRule="auto"/>
        <w:ind w:left="284"/>
        <w:jc w:val="both"/>
        <w:rPr>
          <w:rFonts w:ascii="Arial" w:hAnsi="Arial" w:cs="Arial"/>
          <w:sz w:val="20"/>
          <w:szCs w:val="20"/>
        </w:rPr>
      </w:pPr>
      <w:r>
        <w:rPr>
          <w:rFonts w:ascii="Arial" w:hAnsi="Arial" w:cs="Arial"/>
          <w:b/>
          <w:bCs/>
          <w:i/>
          <w:iCs/>
          <w:sz w:val="20"/>
          <w:szCs w:val="20"/>
        </w:rPr>
        <w:t>Art. 8 –</w:t>
      </w:r>
      <w:r w:rsidR="00225DEA" w:rsidRPr="00225DEA">
        <w:rPr>
          <w:rFonts w:ascii="Arial" w:hAnsi="Arial" w:cs="Arial"/>
          <w:sz w:val="20"/>
          <w:szCs w:val="20"/>
        </w:rPr>
        <w:t xml:space="preserve"> La commission interministérielle informe chaque année la caisse des prêts et de soutien des collectivités locales des notes finales accordées aux collectivités locales, au titre de l’évaluation de leurs performances et publie les résultats mentionnés sur le portail de la direction générale des collectivités locales du ministère de l'intérieur.</w:t>
      </w:r>
    </w:p>
    <w:p w14:paraId="1DFCCD42" w14:textId="77777777" w:rsidR="00AB0006" w:rsidRDefault="00AB0006" w:rsidP="00333B7F">
      <w:pPr>
        <w:spacing w:after="0" w:line="240" w:lineRule="auto"/>
        <w:ind w:left="284"/>
        <w:jc w:val="both"/>
        <w:rPr>
          <w:rFonts w:ascii="Arial" w:hAnsi="Arial" w:cs="Arial"/>
          <w:sz w:val="20"/>
          <w:szCs w:val="20"/>
        </w:rPr>
      </w:pPr>
    </w:p>
    <w:p w14:paraId="20AD7018" w14:textId="51E8E4C6" w:rsidR="00225DEA" w:rsidRPr="00225DEA" w:rsidRDefault="00A3545F" w:rsidP="00333B7F">
      <w:pPr>
        <w:spacing w:after="0" w:line="240" w:lineRule="auto"/>
        <w:ind w:left="284"/>
        <w:jc w:val="both"/>
        <w:rPr>
          <w:rFonts w:ascii="Arial" w:hAnsi="Arial" w:cs="Arial"/>
          <w:sz w:val="20"/>
          <w:szCs w:val="20"/>
        </w:rPr>
      </w:pPr>
      <w:r w:rsidRPr="00A3545F">
        <w:rPr>
          <w:rFonts w:ascii="Arial" w:hAnsi="Arial" w:cs="Arial"/>
          <w:b/>
          <w:bCs/>
          <w:i/>
          <w:iCs/>
          <w:sz w:val="20"/>
          <w:szCs w:val="20"/>
        </w:rPr>
        <w:t>Art. 9 –</w:t>
      </w:r>
      <w:r>
        <w:rPr>
          <w:rFonts w:ascii="Arial" w:hAnsi="Arial" w:cs="Arial"/>
          <w:sz w:val="20"/>
          <w:szCs w:val="20"/>
        </w:rPr>
        <w:t xml:space="preserve"> </w:t>
      </w:r>
      <w:r w:rsidR="00225DEA" w:rsidRPr="00225DEA">
        <w:rPr>
          <w:rFonts w:ascii="Arial" w:hAnsi="Arial" w:cs="Arial"/>
          <w:sz w:val="20"/>
          <w:szCs w:val="20"/>
        </w:rPr>
        <w:t>Les dispositions du présent arrêté entrent en vigueur à compter du 1er janvier 2017.</w:t>
      </w:r>
    </w:p>
    <w:p w14:paraId="38B213A6" w14:textId="77777777" w:rsidR="00225DEA" w:rsidRPr="00225DEA" w:rsidRDefault="00225DEA" w:rsidP="00333B7F">
      <w:pPr>
        <w:spacing w:before="120" w:after="0" w:line="240" w:lineRule="auto"/>
        <w:ind w:left="284"/>
        <w:jc w:val="both"/>
        <w:rPr>
          <w:rFonts w:ascii="Arial" w:hAnsi="Arial" w:cs="Arial"/>
          <w:sz w:val="20"/>
          <w:szCs w:val="20"/>
        </w:rPr>
      </w:pPr>
      <w:r w:rsidRPr="00225DEA">
        <w:rPr>
          <w:rFonts w:ascii="Arial" w:hAnsi="Arial" w:cs="Arial"/>
          <w:sz w:val="20"/>
          <w:szCs w:val="20"/>
        </w:rPr>
        <w:t>Toutefois, et à titre exceptionnel, au cours de l’année 2016, le corps du contrôle général des services publics réalise une opération expérimentale d’évaluation des performances des collectivités locales, sur la base de l’exercice 2015, pour faire connaître le régime de l’évaluation des performances conformément aux étapes et échéances précisées à l’article 7 du présent arrêté.</w:t>
      </w:r>
    </w:p>
    <w:p w14:paraId="16177C00" w14:textId="77777777" w:rsidR="00AB0006" w:rsidRPr="00A3545F" w:rsidRDefault="00AB0006" w:rsidP="00333B7F">
      <w:pPr>
        <w:spacing w:after="0" w:line="240" w:lineRule="auto"/>
        <w:ind w:left="284"/>
        <w:jc w:val="both"/>
        <w:rPr>
          <w:rFonts w:ascii="Arial" w:hAnsi="Arial" w:cs="Arial"/>
          <w:b/>
          <w:bCs/>
          <w:i/>
          <w:iCs/>
          <w:sz w:val="20"/>
          <w:szCs w:val="20"/>
        </w:rPr>
      </w:pPr>
    </w:p>
    <w:p w14:paraId="22A8935C" w14:textId="6B795E20" w:rsidR="00225DEA" w:rsidRDefault="00A3545F" w:rsidP="00333B7F">
      <w:pPr>
        <w:spacing w:after="0" w:line="240" w:lineRule="auto"/>
        <w:ind w:left="284"/>
        <w:jc w:val="both"/>
        <w:rPr>
          <w:rFonts w:ascii="Arial" w:hAnsi="Arial" w:cs="Arial"/>
          <w:sz w:val="20"/>
          <w:szCs w:val="20"/>
        </w:rPr>
      </w:pPr>
      <w:r w:rsidRPr="00A3545F">
        <w:rPr>
          <w:rFonts w:ascii="Arial" w:hAnsi="Arial" w:cs="Arial"/>
          <w:b/>
          <w:bCs/>
          <w:i/>
          <w:iCs/>
          <w:sz w:val="20"/>
          <w:szCs w:val="20"/>
        </w:rPr>
        <w:t>Art. 10 –</w:t>
      </w:r>
      <w:r>
        <w:rPr>
          <w:rFonts w:ascii="Arial" w:hAnsi="Arial" w:cs="Arial"/>
          <w:sz w:val="20"/>
          <w:szCs w:val="20"/>
        </w:rPr>
        <w:t xml:space="preserve"> </w:t>
      </w:r>
      <w:r w:rsidR="00225DEA" w:rsidRPr="00225DEA">
        <w:rPr>
          <w:rFonts w:ascii="Arial" w:hAnsi="Arial" w:cs="Arial"/>
          <w:sz w:val="20"/>
          <w:szCs w:val="20"/>
        </w:rPr>
        <w:t>Le présent arrêté sera publié au Journal Officiel de la République Tunisienne.</w:t>
      </w:r>
    </w:p>
    <w:p w14:paraId="154F764C" w14:textId="77777777" w:rsidR="00A3545F" w:rsidRPr="00225DEA" w:rsidRDefault="00A3545F" w:rsidP="00333B7F">
      <w:pPr>
        <w:spacing w:after="0" w:line="240" w:lineRule="auto"/>
        <w:ind w:left="284"/>
        <w:jc w:val="both"/>
        <w:rPr>
          <w:rFonts w:ascii="Arial" w:hAnsi="Arial" w:cs="Arial"/>
          <w:sz w:val="20"/>
          <w:szCs w:val="20"/>
        </w:rPr>
      </w:pPr>
    </w:p>
    <w:p w14:paraId="3829F1E9" w14:textId="77777777" w:rsidR="00225DEA" w:rsidRPr="00A3545F" w:rsidRDefault="00225DEA" w:rsidP="00333B7F">
      <w:pPr>
        <w:spacing w:after="0" w:line="240" w:lineRule="auto"/>
        <w:ind w:left="284"/>
        <w:jc w:val="both"/>
        <w:rPr>
          <w:rFonts w:ascii="Arial" w:hAnsi="Arial" w:cs="Arial"/>
          <w:b/>
          <w:bCs/>
          <w:sz w:val="20"/>
          <w:szCs w:val="20"/>
        </w:rPr>
      </w:pPr>
      <w:r w:rsidRPr="00A3545F">
        <w:rPr>
          <w:rFonts w:ascii="Arial" w:hAnsi="Arial" w:cs="Arial"/>
          <w:b/>
          <w:bCs/>
          <w:sz w:val="20"/>
          <w:szCs w:val="20"/>
        </w:rPr>
        <w:t>Tunis, le 29 décembre 2015.</w:t>
      </w:r>
    </w:p>
    <w:p w14:paraId="247A0D37" w14:textId="77777777" w:rsidR="00A3545F" w:rsidRPr="00A3545F" w:rsidRDefault="00A3545F" w:rsidP="00333B7F">
      <w:pPr>
        <w:spacing w:after="0" w:line="240" w:lineRule="auto"/>
        <w:ind w:left="284"/>
        <w:jc w:val="both"/>
        <w:rPr>
          <w:rFonts w:ascii="Arial" w:hAnsi="Arial" w:cs="Arial"/>
          <w:b/>
          <w:bCs/>
          <w:sz w:val="20"/>
          <w:szCs w:val="20"/>
        </w:rPr>
      </w:pPr>
    </w:p>
    <w:p w14:paraId="213A25D2" w14:textId="7959B505" w:rsidR="00864CEA" w:rsidRPr="005D262A" w:rsidRDefault="00864CEA" w:rsidP="00333B7F">
      <w:pPr>
        <w:spacing w:after="0" w:line="240" w:lineRule="auto"/>
        <w:ind w:left="284"/>
        <w:jc w:val="both"/>
        <w:rPr>
          <w:rFonts w:ascii="Arial" w:hAnsi="Arial" w:cs="Arial"/>
          <w:sz w:val="20"/>
          <w:szCs w:val="20"/>
        </w:rPr>
      </w:pPr>
    </w:p>
    <w:sectPr w:rsidR="00864CEA" w:rsidRPr="005D262A"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0B2D3" w14:textId="77777777" w:rsidR="00EA7038" w:rsidRDefault="00EA7038" w:rsidP="008F3F2D">
      <w:r>
        <w:separator/>
      </w:r>
    </w:p>
  </w:endnote>
  <w:endnote w:type="continuationSeparator" w:id="0">
    <w:p w14:paraId="4CD0CB1E" w14:textId="77777777" w:rsidR="00EA7038" w:rsidRDefault="00EA703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44617" w14:textId="77777777" w:rsidR="00077529" w:rsidRPr="00D55CDF" w:rsidRDefault="00077529">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92D1D">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92D1D">
                            <w:rPr>
                              <w:rFonts w:ascii="Arial" w:hAnsi="Arial" w:cs="Arial"/>
                              <w:noProof/>
                              <w:sz w:val="18"/>
                              <w:szCs w:val="18"/>
                            </w:rPr>
                            <w:t>5</w:t>
                          </w:r>
                          <w:r w:rsidRPr="001E5DD5">
                            <w:rPr>
                              <w:rFonts w:ascii="Arial" w:hAnsi="Arial" w:cs="Arial"/>
                              <w:noProof/>
                              <w:sz w:val="18"/>
                              <w:szCs w:val="18"/>
                            </w:rPr>
                            <w:fldChar w:fldCharType="end"/>
                          </w:r>
                        </w:p>
                        <w:p w14:paraId="22C997F5" w14:textId="77777777" w:rsidR="00077529" w:rsidRDefault="000775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92D1D">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92D1D">
                      <w:rPr>
                        <w:rFonts w:ascii="Arial" w:hAnsi="Arial" w:cs="Arial"/>
                        <w:noProof/>
                        <w:sz w:val="18"/>
                        <w:szCs w:val="18"/>
                      </w:rPr>
                      <w:t>5</w:t>
                    </w:r>
                    <w:r w:rsidRPr="001E5DD5">
                      <w:rPr>
                        <w:rFonts w:ascii="Arial" w:hAnsi="Arial" w:cs="Arial"/>
                        <w:noProof/>
                        <w:sz w:val="18"/>
                        <w:szCs w:val="18"/>
                      </w:rPr>
                      <w:fldChar w:fldCharType="end"/>
                    </w:r>
                  </w:p>
                  <w:p w14:paraId="22C997F5" w14:textId="77777777" w:rsidR="00077529" w:rsidRDefault="0007752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DD074" w14:textId="77777777" w:rsidR="00077529" w:rsidRDefault="00077529">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A703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A7038">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A703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A7038">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41AD0" w14:textId="77777777" w:rsidR="00EA7038" w:rsidRDefault="00EA7038" w:rsidP="008F3F2D">
      <w:r>
        <w:separator/>
      </w:r>
    </w:p>
  </w:footnote>
  <w:footnote w:type="continuationSeparator" w:id="0">
    <w:p w14:paraId="0E5E8CC3" w14:textId="77777777" w:rsidR="00EA7038" w:rsidRDefault="00EA7038"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AC36" w14:textId="77777777" w:rsidR="00077529" w:rsidRDefault="00077529">
    <w:pPr>
      <w:pStyle w:val="En-tte"/>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897B" w14:textId="77777777" w:rsidR="00077529" w:rsidRDefault="00077529">
    <w:pPr>
      <w:pStyle w:val="En-tte"/>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113"/>
    <w:multiLevelType w:val="hybridMultilevel"/>
    <w:tmpl w:val="CF14B214"/>
    <w:lvl w:ilvl="0" w:tplc="252A4122">
      <w:start w:val="1"/>
      <w:numFmt w:val="decimal"/>
      <w:lvlText w:val="%1."/>
      <w:lvlJc w:val="left"/>
      <w:pPr>
        <w:ind w:left="1004" w:hanging="360"/>
      </w:pPr>
      <w:rPr>
        <w:rFonts w:ascii="Arial" w:eastAsiaTheme="minorEastAsia" w:hAnsi="Arial" w:cs="Arial"/>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64378EB"/>
    <w:multiLevelType w:val="hybridMultilevel"/>
    <w:tmpl w:val="FA62416A"/>
    <w:lvl w:ilvl="0" w:tplc="FC469C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BD3921"/>
    <w:multiLevelType w:val="hybridMultilevel"/>
    <w:tmpl w:val="00CE2518"/>
    <w:lvl w:ilvl="0" w:tplc="E31C24A4">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 w15:restartNumberingAfterBreak="0">
    <w:nsid w:val="07C7141B"/>
    <w:multiLevelType w:val="hybridMultilevel"/>
    <w:tmpl w:val="6A28F83A"/>
    <w:lvl w:ilvl="0" w:tplc="276EEA1E">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0A1D2632"/>
    <w:multiLevelType w:val="hybridMultilevel"/>
    <w:tmpl w:val="6B40DD2A"/>
    <w:lvl w:ilvl="0" w:tplc="D344530C">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2C52BD"/>
    <w:multiLevelType w:val="hybridMultilevel"/>
    <w:tmpl w:val="A8AC37C4"/>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0E270FC7"/>
    <w:multiLevelType w:val="hybridMultilevel"/>
    <w:tmpl w:val="810C3DDC"/>
    <w:lvl w:ilvl="0" w:tplc="C1382784">
      <w:start w:val="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4B45B4"/>
    <w:multiLevelType w:val="hybridMultilevel"/>
    <w:tmpl w:val="AB6023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38E5FCF"/>
    <w:multiLevelType w:val="hybridMultilevel"/>
    <w:tmpl w:val="9D78937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39E47B9"/>
    <w:multiLevelType w:val="hybridMultilevel"/>
    <w:tmpl w:val="9640A8F2"/>
    <w:lvl w:ilvl="0" w:tplc="FE8A921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16FA219A"/>
    <w:multiLevelType w:val="hybridMultilevel"/>
    <w:tmpl w:val="93A0CF1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84A0687"/>
    <w:multiLevelType w:val="hybridMultilevel"/>
    <w:tmpl w:val="0E1ED9D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190E5149"/>
    <w:multiLevelType w:val="hybridMultilevel"/>
    <w:tmpl w:val="2F36B0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195161DC"/>
    <w:multiLevelType w:val="hybridMultilevel"/>
    <w:tmpl w:val="03D095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1A432965"/>
    <w:multiLevelType w:val="hybridMultilevel"/>
    <w:tmpl w:val="A8E8635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1CA644D6"/>
    <w:multiLevelType w:val="hybridMultilevel"/>
    <w:tmpl w:val="1220CC22"/>
    <w:lvl w:ilvl="0" w:tplc="4F7A72C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203B2542"/>
    <w:multiLevelType w:val="hybridMultilevel"/>
    <w:tmpl w:val="AA203B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144734F"/>
    <w:multiLevelType w:val="hybridMultilevel"/>
    <w:tmpl w:val="E4E25D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26862AB7"/>
    <w:multiLevelType w:val="hybridMultilevel"/>
    <w:tmpl w:val="CA5EFF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2A2C0237"/>
    <w:multiLevelType w:val="hybridMultilevel"/>
    <w:tmpl w:val="5B649A0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2C5B604E"/>
    <w:multiLevelType w:val="hybridMultilevel"/>
    <w:tmpl w:val="B7CA4E9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2DFF4DAB"/>
    <w:multiLevelType w:val="hybridMultilevel"/>
    <w:tmpl w:val="C756E5D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326343A2"/>
    <w:multiLevelType w:val="hybridMultilevel"/>
    <w:tmpl w:val="CF326C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359B4776"/>
    <w:multiLevelType w:val="hybridMultilevel"/>
    <w:tmpl w:val="A120D8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36C73906"/>
    <w:multiLevelType w:val="hybridMultilevel"/>
    <w:tmpl w:val="7744E14E"/>
    <w:lvl w:ilvl="0" w:tplc="65EC95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77D0206"/>
    <w:multiLevelType w:val="hybridMultilevel"/>
    <w:tmpl w:val="9670B21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3FA322A4"/>
    <w:multiLevelType w:val="hybridMultilevel"/>
    <w:tmpl w:val="58726DD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428A7055"/>
    <w:multiLevelType w:val="hybridMultilevel"/>
    <w:tmpl w:val="E8767A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79B5AF9"/>
    <w:multiLevelType w:val="hybridMultilevel"/>
    <w:tmpl w:val="91A864D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AC363C"/>
    <w:multiLevelType w:val="hybridMultilevel"/>
    <w:tmpl w:val="0CC078FE"/>
    <w:lvl w:ilvl="0" w:tplc="276EEA1E">
      <w:start w:val="1"/>
      <w:numFmt w:val="bullet"/>
      <w:lvlText w:val=""/>
      <w:lvlJc w:val="left"/>
      <w:pPr>
        <w:ind w:left="1004" w:hanging="360"/>
      </w:pPr>
      <w:rPr>
        <w:rFonts w:ascii="Symbol" w:hAnsi="Symbol" w:hint="default"/>
      </w:rPr>
    </w:lvl>
    <w:lvl w:ilvl="1" w:tplc="FA02BF28">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0244CAD"/>
    <w:multiLevelType w:val="hybridMultilevel"/>
    <w:tmpl w:val="B85C5A66"/>
    <w:lvl w:ilvl="0" w:tplc="276EEA1E">
      <w:start w:val="1"/>
      <w:numFmt w:val="bullet"/>
      <w:lvlText w:val=""/>
      <w:lvlJc w:val="left"/>
      <w:pPr>
        <w:ind w:left="1004" w:hanging="360"/>
      </w:pPr>
      <w:rPr>
        <w:rFonts w:ascii="Symbol" w:hAnsi="Symbol" w:hint="default"/>
      </w:rPr>
    </w:lvl>
    <w:lvl w:ilvl="1" w:tplc="7900947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1237FFD"/>
    <w:multiLevelType w:val="hybridMultilevel"/>
    <w:tmpl w:val="AED817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51C7734D"/>
    <w:multiLevelType w:val="hybridMultilevel"/>
    <w:tmpl w:val="614AAAAE"/>
    <w:lvl w:ilvl="0" w:tplc="295070E4">
      <w:start w:val="9"/>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D9016E"/>
    <w:multiLevelType w:val="hybridMultilevel"/>
    <w:tmpl w:val="1BE6C44E"/>
    <w:lvl w:ilvl="0" w:tplc="2ED2807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60903338"/>
    <w:multiLevelType w:val="hybridMultilevel"/>
    <w:tmpl w:val="423677A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2094F48"/>
    <w:multiLevelType w:val="hybridMultilevel"/>
    <w:tmpl w:val="A8E863C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66051B78"/>
    <w:multiLevelType w:val="hybridMultilevel"/>
    <w:tmpl w:val="E130B0A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A510245"/>
    <w:multiLevelType w:val="hybridMultilevel"/>
    <w:tmpl w:val="9ECEF49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6CB234A0"/>
    <w:multiLevelType w:val="hybridMultilevel"/>
    <w:tmpl w:val="50FEB03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77B707A7"/>
    <w:multiLevelType w:val="hybridMultilevel"/>
    <w:tmpl w:val="74F424D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5"/>
  </w:num>
  <w:num w:numId="2">
    <w:abstractNumId w:val="20"/>
  </w:num>
  <w:num w:numId="3">
    <w:abstractNumId w:val="38"/>
  </w:num>
  <w:num w:numId="4">
    <w:abstractNumId w:val="11"/>
  </w:num>
  <w:num w:numId="5">
    <w:abstractNumId w:val="36"/>
  </w:num>
  <w:num w:numId="6">
    <w:abstractNumId w:val="25"/>
  </w:num>
  <w:num w:numId="7">
    <w:abstractNumId w:val="39"/>
  </w:num>
  <w:num w:numId="8">
    <w:abstractNumId w:val="3"/>
  </w:num>
  <w:num w:numId="9">
    <w:abstractNumId w:val="30"/>
  </w:num>
  <w:num w:numId="10">
    <w:abstractNumId w:val="7"/>
  </w:num>
  <w:num w:numId="11">
    <w:abstractNumId w:val="17"/>
  </w:num>
  <w:num w:numId="12">
    <w:abstractNumId w:val="13"/>
  </w:num>
  <w:num w:numId="13">
    <w:abstractNumId w:val="23"/>
  </w:num>
  <w:num w:numId="14">
    <w:abstractNumId w:val="19"/>
  </w:num>
  <w:num w:numId="15">
    <w:abstractNumId w:val="0"/>
  </w:num>
  <w:num w:numId="16">
    <w:abstractNumId w:val="35"/>
  </w:num>
  <w:num w:numId="17">
    <w:abstractNumId w:val="28"/>
  </w:num>
  <w:num w:numId="18">
    <w:abstractNumId w:val="29"/>
  </w:num>
  <w:num w:numId="19">
    <w:abstractNumId w:val="14"/>
  </w:num>
  <w:num w:numId="20">
    <w:abstractNumId w:val="22"/>
  </w:num>
  <w:num w:numId="21">
    <w:abstractNumId w:val="9"/>
  </w:num>
  <w:num w:numId="22">
    <w:abstractNumId w:val="16"/>
  </w:num>
  <w:num w:numId="23">
    <w:abstractNumId w:val="31"/>
  </w:num>
  <w:num w:numId="24">
    <w:abstractNumId w:val="21"/>
  </w:num>
  <w:num w:numId="25">
    <w:abstractNumId w:val="18"/>
  </w:num>
  <w:num w:numId="26">
    <w:abstractNumId w:val="37"/>
  </w:num>
  <w:num w:numId="27">
    <w:abstractNumId w:val="2"/>
  </w:num>
  <w:num w:numId="28">
    <w:abstractNumId w:val="27"/>
  </w:num>
  <w:num w:numId="29">
    <w:abstractNumId w:val="1"/>
  </w:num>
  <w:num w:numId="30">
    <w:abstractNumId w:val="24"/>
  </w:num>
  <w:num w:numId="31">
    <w:abstractNumId w:val="4"/>
  </w:num>
  <w:num w:numId="32">
    <w:abstractNumId w:val="26"/>
  </w:num>
  <w:num w:numId="33">
    <w:abstractNumId w:val="32"/>
  </w:num>
  <w:num w:numId="34">
    <w:abstractNumId w:val="6"/>
  </w:num>
  <w:num w:numId="35">
    <w:abstractNumId w:val="34"/>
  </w:num>
  <w:num w:numId="36">
    <w:abstractNumId w:val="12"/>
  </w:num>
  <w:num w:numId="37">
    <w:abstractNumId w:val="15"/>
  </w:num>
  <w:num w:numId="38">
    <w:abstractNumId w:val="8"/>
  </w:num>
  <w:num w:numId="39">
    <w:abstractNumId w:val="33"/>
  </w:num>
  <w:num w:numId="4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A31"/>
    <w:rsid w:val="000414A7"/>
    <w:rsid w:val="00062ECD"/>
    <w:rsid w:val="00077529"/>
    <w:rsid w:val="000B0D20"/>
    <w:rsid w:val="000C2248"/>
    <w:rsid w:val="000C24FA"/>
    <w:rsid w:val="000C3F27"/>
    <w:rsid w:val="000C7FAD"/>
    <w:rsid w:val="000D0DE1"/>
    <w:rsid w:val="000E1C37"/>
    <w:rsid w:val="000E628E"/>
    <w:rsid w:val="000F09C6"/>
    <w:rsid w:val="0010537F"/>
    <w:rsid w:val="001323AC"/>
    <w:rsid w:val="00137334"/>
    <w:rsid w:val="001375FF"/>
    <w:rsid w:val="00196DF4"/>
    <w:rsid w:val="001A535F"/>
    <w:rsid w:val="001B250B"/>
    <w:rsid w:val="001B4835"/>
    <w:rsid w:val="001E10BA"/>
    <w:rsid w:val="001E5DD5"/>
    <w:rsid w:val="001E6787"/>
    <w:rsid w:val="001F6FB9"/>
    <w:rsid w:val="0020398F"/>
    <w:rsid w:val="00206E24"/>
    <w:rsid w:val="00207FFE"/>
    <w:rsid w:val="00215EF7"/>
    <w:rsid w:val="00225DEA"/>
    <w:rsid w:val="0026678B"/>
    <w:rsid w:val="002672A1"/>
    <w:rsid w:val="00267DE1"/>
    <w:rsid w:val="002B19EE"/>
    <w:rsid w:val="0030358C"/>
    <w:rsid w:val="003324D8"/>
    <w:rsid w:val="00333B7F"/>
    <w:rsid w:val="0033511C"/>
    <w:rsid w:val="003476E8"/>
    <w:rsid w:val="00354137"/>
    <w:rsid w:val="00356C00"/>
    <w:rsid w:val="00362106"/>
    <w:rsid w:val="00371B80"/>
    <w:rsid w:val="0037201C"/>
    <w:rsid w:val="003757FF"/>
    <w:rsid w:val="00383314"/>
    <w:rsid w:val="00385334"/>
    <w:rsid w:val="003B363D"/>
    <w:rsid w:val="003B6CD4"/>
    <w:rsid w:val="003F4AF0"/>
    <w:rsid w:val="00400161"/>
    <w:rsid w:val="00436C7E"/>
    <w:rsid w:val="004402D7"/>
    <w:rsid w:val="004808F1"/>
    <w:rsid w:val="00481528"/>
    <w:rsid w:val="004977E0"/>
    <w:rsid w:val="004E246D"/>
    <w:rsid w:val="00503E5A"/>
    <w:rsid w:val="00510021"/>
    <w:rsid w:val="0052779B"/>
    <w:rsid w:val="00567E0F"/>
    <w:rsid w:val="00584322"/>
    <w:rsid w:val="00595DBD"/>
    <w:rsid w:val="005D262A"/>
    <w:rsid w:val="005E7CA9"/>
    <w:rsid w:val="005F3AAE"/>
    <w:rsid w:val="005F7BF4"/>
    <w:rsid w:val="0060594F"/>
    <w:rsid w:val="006353B0"/>
    <w:rsid w:val="00644735"/>
    <w:rsid w:val="00655DBD"/>
    <w:rsid w:val="00660423"/>
    <w:rsid w:val="00681F70"/>
    <w:rsid w:val="0068269F"/>
    <w:rsid w:val="00684129"/>
    <w:rsid w:val="006906FF"/>
    <w:rsid w:val="006B5CBB"/>
    <w:rsid w:val="006B789C"/>
    <w:rsid w:val="006C0270"/>
    <w:rsid w:val="006D5CA8"/>
    <w:rsid w:val="006E4A2C"/>
    <w:rsid w:val="0071170F"/>
    <w:rsid w:val="007244D3"/>
    <w:rsid w:val="007418B5"/>
    <w:rsid w:val="0075404E"/>
    <w:rsid w:val="0076124E"/>
    <w:rsid w:val="007A76E8"/>
    <w:rsid w:val="007D594C"/>
    <w:rsid w:val="007E7F34"/>
    <w:rsid w:val="007F3EDD"/>
    <w:rsid w:val="0080167D"/>
    <w:rsid w:val="0081344C"/>
    <w:rsid w:val="00846ED4"/>
    <w:rsid w:val="00847F00"/>
    <w:rsid w:val="00864CEA"/>
    <w:rsid w:val="00874D56"/>
    <w:rsid w:val="00874F3E"/>
    <w:rsid w:val="00876053"/>
    <w:rsid w:val="0089552E"/>
    <w:rsid w:val="008B3D28"/>
    <w:rsid w:val="008B4B90"/>
    <w:rsid w:val="008F3F2D"/>
    <w:rsid w:val="008F4C1B"/>
    <w:rsid w:val="00910EDC"/>
    <w:rsid w:val="00911CFA"/>
    <w:rsid w:val="009157FD"/>
    <w:rsid w:val="00933428"/>
    <w:rsid w:val="009432D0"/>
    <w:rsid w:val="00957CDF"/>
    <w:rsid w:val="00957F0E"/>
    <w:rsid w:val="009736FB"/>
    <w:rsid w:val="0097472C"/>
    <w:rsid w:val="00992D1D"/>
    <w:rsid w:val="00993EF9"/>
    <w:rsid w:val="009B2030"/>
    <w:rsid w:val="009E055F"/>
    <w:rsid w:val="009E45D0"/>
    <w:rsid w:val="00A00644"/>
    <w:rsid w:val="00A02FE2"/>
    <w:rsid w:val="00A0369D"/>
    <w:rsid w:val="00A04F09"/>
    <w:rsid w:val="00A23AAD"/>
    <w:rsid w:val="00A24F23"/>
    <w:rsid w:val="00A33EB8"/>
    <w:rsid w:val="00A3545F"/>
    <w:rsid w:val="00A37F30"/>
    <w:rsid w:val="00A7199E"/>
    <w:rsid w:val="00A77B68"/>
    <w:rsid w:val="00A84B7B"/>
    <w:rsid w:val="00A84D6A"/>
    <w:rsid w:val="00A85FD5"/>
    <w:rsid w:val="00A90F21"/>
    <w:rsid w:val="00A9459F"/>
    <w:rsid w:val="00AA78A6"/>
    <w:rsid w:val="00AB0006"/>
    <w:rsid w:val="00AB2691"/>
    <w:rsid w:val="00AD2268"/>
    <w:rsid w:val="00AD326E"/>
    <w:rsid w:val="00AF1ECF"/>
    <w:rsid w:val="00B01238"/>
    <w:rsid w:val="00B05438"/>
    <w:rsid w:val="00B147F7"/>
    <w:rsid w:val="00B617F1"/>
    <w:rsid w:val="00BA3F7F"/>
    <w:rsid w:val="00C00FC8"/>
    <w:rsid w:val="00C068A7"/>
    <w:rsid w:val="00C1635D"/>
    <w:rsid w:val="00C26C82"/>
    <w:rsid w:val="00C33D1B"/>
    <w:rsid w:val="00C61994"/>
    <w:rsid w:val="00C64B86"/>
    <w:rsid w:val="00C96D77"/>
    <w:rsid w:val="00CA3D64"/>
    <w:rsid w:val="00CA544B"/>
    <w:rsid w:val="00CC4ADF"/>
    <w:rsid w:val="00CD19DF"/>
    <w:rsid w:val="00CF4C77"/>
    <w:rsid w:val="00D07749"/>
    <w:rsid w:val="00D1177F"/>
    <w:rsid w:val="00D2002F"/>
    <w:rsid w:val="00D274F6"/>
    <w:rsid w:val="00D36176"/>
    <w:rsid w:val="00D55CDF"/>
    <w:rsid w:val="00D566AB"/>
    <w:rsid w:val="00DC4590"/>
    <w:rsid w:val="00DC5ABD"/>
    <w:rsid w:val="00DC7E44"/>
    <w:rsid w:val="00DD4D60"/>
    <w:rsid w:val="00E10A35"/>
    <w:rsid w:val="00E55A17"/>
    <w:rsid w:val="00E57DAB"/>
    <w:rsid w:val="00E70DF8"/>
    <w:rsid w:val="00E846EE"/>
    <w:rsid w:val="00E9240E"/>
    <w:rsid w:val="00E9341A"/>
    <w:rsid w:val="00E953A2"/>
    <w:rsid w:val="00EA7038"/>
    <w:rsid w:val="00EB590F"/>
    <w:rsid w:val="00EB63C3"/>
    <w:rsid w:val="00ED7568"/>
    <w:rsid w:val="00EE32FB"/>
    <w:rsid w:val="00EF16C9"/>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E9D2-24B2-4950-8722-EBA0FEA5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2145</Words>
  <Characters>11803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4</cp:revision>
  <cp:lastPrinted>2016-09-26T10:17:00Z</cp:lastPrinted>
  <dcterms:created xsi:type="dcterms:W3CDTF">2016-09-26T10:17:00Z</dcterms:created>
  <dcterms:modified xsi:type="dcterms:W3CDTF">2016-09-26T10:27:00Z</dcterms:modified>
</cp:coreProperties>
</file>